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008F22FE">
      <w:pPr>
        <w:spacing w:line="360" w:lineRule="auto"/>
        <w:jc w:val="center"/>
        <w:rPr>
          <w:rFonts w:hint="eastAsia" w:ascii="宋体" w:hAnsi="宋体" w:eastAsia="宋体" w:cs="宋体"/>
          <w:b/>
          <w:i/>
          <w:iCs/>
          <w:snapToGrid w:val="0"/>
          <w:color w:val="auto"/>
          <w:kern w:val="0"/>
          <w:sz w:val="30"/>
          <w:szCs w:val="30"/>
        </w:rPr>
      </w:pPr>
      <w:r>
        <w:rPr>
          <w:rFonts w:hint="eastAsia" w:ascii="宋体" w:hAnsi="宋体" w:eastAsia="宋体" w:cs="宋体"/>
          <w:b/>
          <w:snapToGrid w:val="0"/>
          <w:color w:val="auto"/>
          <w:kern w:val="0"/>
          <w:sz w:val="30"/>
          <w:szCs w:val="30"/>
          <w:lang w:val="en-US" w:eastAsia="zh-CN"/>
        </w:rPr>
        <w:t>施工图</w:t>
      </w:r>
      <w:r>
        <w:rPr>
          <w:rFonts w:hint="eastAsia" w:ascii="宋体" w:hAnsi="宋体" w:eastAsia="宋体" w:cs="宋体"/>
          <w:b/>
          <w:snapToGrid w:val="0"/>
          <w:color w:val="auto"/>
          <w:kern w:val="0"/>
          <w:sz w:val="30"/>
          <w:szCs w:val="30"/>
        </w:rPr>
        <w:t>设计总说明</w:t>
      </w:r>
    </w:p>
    <w:p w14:paraId="272C54A0">
      <w:pPr>
        <w:pStyle w:val="3"/>
        <w:numPr>
          <w:ilvl w:val="0"/>
          <w:numId w:val="2"/>
        </w:numPr>
        <w:spacing w:before="0" w:after="0" w:line="360" w:lineRule="auto"/>
        <w:ind w:firstLine="482" w:firstLineChars="200"/>
        <w:jc w:val="left"/>
        <w:rPr>
          <w:rFonts w:hint="eastAsia" w:ascii="宋体" w:hAnsi="宋体" w:eastAsia="宋体" w:cs="宋体"/>
          <w:i w:val="0"/>
          <w:iCs w:val="0"/>
          <w:color w:val="auto"/>
        </w:rPr>
      </w:pPr>
      <w:r>
        <w:rPr>
          <w:rFonts w:hint="eastAsia" w:ascii="宋体" w:hAnsi="宋体" w:eastAsia="宋体" w:cs="宋体"/>
          <w:i w:val="0"/>
          <w:iCs w:val="0"/>
          <w:color w:val="auto"/>
          <w:sz w:val="24"/>
          <w:szCs w:val="24"/>
        </w:rPr>
        <w:t>工程概况</w:t>
      </w:r>
    </w:p>
    <w:p w14:paraId="4FDBAC7F">
      <w:pPr>
        <w:spacing w:line="360" w:lineRule="auto"/>
        <w:ind w:firstLine="480" w:firstLineChars="200"/>
        <w:jc w:val="left"/>
        <w:rPr>
          <w:rFonts w:hint="eastAsia" w:ascii="宋体" w:hAnsi="宋体" w:cs="宋体"/>
          <w:snapToGrid w:val="0"/>
          <w:color w:val="auto"/>
          <w:kern w:val="0"/>
          <w:sz w:val="24"/>
          <w:szCs w:val="24"/>
          <w:lang w:val="en-US" w:eastAsia="zh-CN"/>
        </w:rPr>
      </w:pPr>
      <w:r>
        <w:rPr>
          <w:rFonts w:hint="eastAsia" w:ascii="宋体" w:hAnsi="宋体" w:eastAsia="宋体" w:cs="宋体"/>
          <w:snapToGrid w:val="0"/>
          <w:color w:val="auto"/>
          <w:kern w:val="0"/>
          <w:sz w:val="24"/>
          <w:szCs w:val="24"/>
          <w:lang w:val="en-US" w:eastAsia="zh-CN"/>
        </w:rPr>
        <w:t>本项目位于桂林市七星区</w:t>
      </w:r>
      <w:r>
        <w:rPr>
          <w:rFonts w:hint="eastAsia" w:ascii="宋体" w:hAnsi="宋体" w:cs="宋体"/>
          <w:snapToGrid w:val="0"/>
          <w:color w:val="auto"/>
          <w:kern w:val="0"/>
          <w:sz w:val="24"/>
          <w:szCs w:val="24"/>
          <w:lang w:val="en-US" w:eastAsia="zh-CN"/>
        </w:rPr>
        <w:t>特作院小区内的老旧小</w:t>
      </w:r>
      <w:bookmarkStart w:id="0" w:name="_GoBack"/>
      <w:bookmarkEnd w:id="0"/>
      <w:r>
        <w:rPr>
          <w:rFonts w:hint="eastAsia" w:ascii="宋体" w:hAnsi="宋体" w:cs="宋体"/>
          <w:snapToGrid w:val="0"/>
          <w:color w:val="auto"/>
          <w:kern w:val="0"/>
          <w:sz w:val="24"/>
          <w:szCs w:val="24"/>
          <w:lang w:val="en-US" w:eastAsia="zh-CN"/>
        </w:rPr>
        <w:t>区</w:t>
      </w:r>
      <w:r>
        <w:rPr>
          <w:rFonts w:hint="eastAsia" w:ascii="宋体" w:hAnsi="宋体" w:eastAsia="宋体" w:cs="宋体"/>
          <w:snapToGrid w:val="0"/>
          <w:color w:val="auto"/>
          <w:kern w:val="0"/>
          <w:sz w:val="24"/>
          <w:szCs w:val="24"/>
          <w:lang w:val="en-US" w:eastAsia="zh-CN"/>
        </w:rPr>
        <w:t>，村屯内道路四通八达，交通便利，具备良好的施工条件。</w:t>
      </w:r>
      <w:r>
        <w:rPr>
          <w:rFonts w:hint="eastAsia" w:ascii="宋体" w:hAnsi="宋体" w:eastAsia="宋体" w:cs="宋体"/>
          <w:color w:val="auto"/>
          <w:sz w:val="24"/>
          <w:szCs w:val="22"/>
          <w:highlight w:val="none"/>
          <w:lang w:val="zh-CN"/>
        </w:rPr>
        <w:t>建设农村</w:t>
      </w:r>
      <w:r>
        <w:rPr>
          <w:rFonts w:hint="eastAsia" w:ascii="宋体" w:hAnsi="宋体" w:eastAsia="宋体" w:cs="宋体"/>
          <w:color w:val="auto"/>
          <w:sz w:val="24"/>
          <w:szCs w:val="22"/>
          <w:highlight w:val="none"/>
          <w:lang w:val="en-US" w:eastAsia="zh-CN"/>
        </w:rPr>
        <w:t>地埋分散</w:t>
      </w:r>
      <w:r>
        <w:rPr>
          <w:rFonts w:hint="eastAsia" w:ascii="宋体" w:hAnsi="宋体" w:eastAsia="宋体" w:cs="宋体"/>
          <w:color w:val="auto"/>
          <w:sz w:val="24"/>
          <w:szCs w:val="22"/>
          <w:highlight w:val="none"/>
          <w:lang w:eastAsia="zh-CN"/>
        </w:rPr>
        <w:t>式污水处理站</w:t>
      </w:r>
      <w:r>
        <w:rPr>
          <w:rFonts w:hint="eastAsia" w:ascii="宋体" w:hAnsi="宋体" w:cs="宋体"/>
          <w:color w:val="auto"/>
          <w:sz w:val="24"/>
          <w:szCs w:val="22"/>
          <w:highlight w:val="none"/>
          <w:lang w:val="en-US" w:eastAsia="zh-CN"/>
        </w:rPr>
        <w:t>1</w:t>
      </w:r>
      <w:r>
        <w:rPr>
          <w:rFonts w:hint="eastAsia" w:ascii="宋体" w:hAnsi="宋体" w:eastAsia="宋体" w:cs="宋体"/>
          <w:color w:val="auto"/>
          <w:sz w:val="24"/>
          <w:szCs w:val="22"/>
          <w:highlight w:val="none"/>
          <w:lang w:val="zh-CN"/>
        </w:rPr>
        <w:t>座，处理规模为</w:t>
      </w:r>
      <w:r>
        <w:rPr>
          <w:rFonts w:hint="eastAsia" w:ascii="宋体" w:hAnsi="宋体" w:cs="宋体"/>
          <w:color w:val="auto"/>
          <w:sz w:val="24"/>
          <w:szCs w:val="22"/>
          <w:highlight w:val="none"/>
          <w:lang w:val="en-US" w:eastAsia="zh-CN"/>
        </w:rPr>
        <w:t>8</w:t>
      </w:r>
      <w:r>
        <w:rPr>
          <w:rFonts w:hint="eastAsia" w:ascii="宋体" w:hAnsi="宋体" w:eastAsia="宋体" w:cs="宋体"/>
          <w:color w:val="auto"/>
          <w:sz w:val="24"/>
          <w:szCs w:val="22"/>
          <w:highlight w:val="none"/>
          <w:lang w:val="en-US" w:eastAsia="zh-CN"/>
        </w:rPr>
        <w:t>0</w:t>
      </w:r>
      <w:r>
        <w:rPr>
          <w:rFonts w:hint="eastAsia" w:ascii="宋体" w:hAnsi="宋体" w:eastAsia="宋体" w:cs="宋体"/>
          <w:color w:val="auto"/>
          <w:sz w:val="24"/>
          <w:szCs w:val="22"/>
          <w:highlight w:val="none"/>
        </w:rPr>
        <w:t>m</w:t>
      </w:r>
      <w:r>
        <w:rPr>
          <w:rFonts w:hint="eastAsia" w:ascii="宋体" w:hAnsi="宋体" w:eastAsia="宋体" w:cs="宋体"/>
          <w:color w:val="auto"/>
          <w:sz w:val="24"/>
          <w:szCs w:val="22"/>
          <w:highlight w:val="none"/>
          <w:vertAlign w:val="superscript"/>
        </w:rPr>
        <w:t>3</w:t>
      </w:r>
      <w:r>
        <w:rPr>
          <w:rFonts w:hint="eastAsia" w:ascii="宋体" w:hAnsi="宋体" w:eastAsia="宋体" w:cs="宋体"/>
          <w:color w:val="auto"/>
          <w:sz w:val="24"/>
          <w:szCs w:val="22"/>
          <w:highlight w:val="none"/>
        </w:rPr>
        <w:t>/d</w:t>
      </w:r>
      <w:r>
        <w:rPr>
          <w:rFonts w:hint="eastAsia" w:ascii="宋体" w:hAnsi="宋体" w:eastAsia="宋体" w:cs="宋体"/>
          <w:color w:val="auto"/>
          <w:sz w:val="24"/>
          <w:szCs w:val="22"/>
          <w:highlight w:val="none"/>
          <w:lang w:eastAsia="zh-CN"/>
        </w:rPr>
        <w:t>，</w:t>
      </w:r>
      <w:r>
        <w:rPr>
          <w:rFonts w:hint="eastAsia" w:ascii="宋体" w:hAnsi="宋体" w:eastAsia="宋体" w:cs="宋体"/>
          <w:snapToGrid w:val="0"/>
          <w:color w:val="auto"/>
          <w:kern w:val="0"/>
          <w:sz w:val="24"/>
          <w:szCs w:val="24"/>
          <w:lang w:val="en-US" w:eastAsia="zh-CN"/>
        </w:rPr>
        <w:t>采用的工艺为</w:t>
      </w:r>
      <w:r>
        <w:rPr>
          <w:rFonts w:hint="eastAsia" w:ascii="宋体" w:hAnsi="宋体" w:eastAsia="宋体" w:cs="宋体"/>
          <w:color w:val="auto"/>
          <w:sz w:val="24"/>
          <w:szCs w:val="22"/>
          <w:highlight w:val="none"/>
        </w:rPr>
        <w:t>FBBR固定床生物膜工艺</w:t>
      </w:r>
      <w:r>
        <w:rPr>
          <w:rFonts w:hint="eastAsia" w:ascii="宋体" w:hAnsi="宋体" w:eastAsia="宋体" w:cs="宋体"/>
          <w:color w:val="auto"/>
          <w:sz w:val="24"/>
          <w:szCs w:val="22"/>
          <w:highlight w:val="none"/>
          <w:lang w:eastAsia="zh-CN"/>
        </w:rPr>
        <w:t>，</w:t>
      </w:r>
      <w:r>
        <w:rPr>
          <w:rFonts w:hint="eastAsia" w:ascii="宋体" w:hAnsi="宋体" w:eastAsia="宋体" w:cs="宋体"/>
          <w:snapToGrid w:val="0"/>
          <w:color w:val="auto"/>
          <w:kern w:val="0"/>
          <w:sz w:val="24"/>
          <w:szCs w:val="24"/>
          <w:lang w:val="en-US" w:eastAsia="zh-CN"/>
        </w:rPr>
        <w:t>受益户数约</w:t>
      </w:r>
      <w:r>
        <w:rPr>
          <w:rFonts w:hint="eastAsia" w:ascii="宋体" w:hAnsi="宋体" w:cs="宋体"/>
          <w:snapToGrid w:val="0"/>
          <w:color w:val="auto"/>
          <w:kern w:val="0"/>
          <w:sz w:val="24"/>
          <w:szCs w:val="24"/>
          <w:lang w:val="en-US" w:eastAsia="zh-CN"/>
        </w:rPr>
        <w:t>183</w:t>
      </w:r>
      <w:r>
        <w:rPr>
          <w:rFonts w:hint="eastAsia" w:ascii="宋体" w:hAnsi="宋体" w:eastAsia="宋体" w:cs="宋体"/>
          <w:snapToGrid w:val="0"/>
          <w:color w:val="auto"/>
          <w:kern w:val="0"/>
          <w:sz w:val="24"/>
          <w:szCs w:val="24"/>
          <w:lang w:val="en-US" w:eastAsia="zh-CN"/>
        </w:rPr>
        <w:t>户，受益人口约</w:t>
      </w:r>
      <w:r>
        <w:rPr>
          <w:rFonts w:hint="eastAsia" w:ascii="宋体" w:hAnsi="宋体" w:cs="宋体"/>
          <w:snapToGrid w:val="0"/>
          <w:color w:val="auto"/>
          <w:kern w:val="0"/>
          <w:sz w:val="24"/>
          <w:szCs w:val="24"/>
          <w:lang w:val="en-US" w:eastAsia="zh-CN"/>
        </w:rPr>
        <w:t>825</w:t>
      </w:r>
      <w:r>
        <w:rPr>
          <w:rFonts w:hint="eastAsia" w:ascii="宋体" w:hAnsi="宋体" w:eastAsia="宋体" w:cs="宋体"/>
          <w:snapToGrid w:val="0"/>
          <w:color w:val="auto"/>
          <w:kern w:val="0"/>
          <w:sz w:val="24"/>
          <w:szCs w:val="24"/>
          <w:lang w:val="en-US" w:eastAsia="zh-CN"/>
        </w:rPr>
        <w:t>人。</w:t>
      </w:r>
    </w:p>
    <w:p w14:paraId="15782DD7">
      <w:pPr>
        <w:pStyle w:val="3"/>
        <w:numPr>
          <w:ilvl w:val="0"/>
          <w:numId w:val="2"/>
        </w:numPr>
        <w:spacing w:before="0" w:after="0" w:line="360" w:lineRule="auto"/>
        <w:ind w:firstLine="482"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设计依据及参考资料</w:t>
      </w:r>
    </w:p>
    <w:p w14:paraId="1C138C08">
      <w:pPr>
        <w:pStyle w:val="71"/>
        <w:numPr>
          <w:ilvl w:val="0"/>
          <w:numId w:val="3"/>
        </w:numPr>
        <w:snapToGrid/>
        <w:ind w:firstLine="480"/>
        <w:rPr>
          <w:rFonts w:hint="eastAsia" w:ascii="宋体" w:hAnsi="宋体" w:eastAsia="宋体" w:cs="宋体"/>
          <w:color w:val="auto"/>
        </w:rPr>
      </w:pPr>
      <w:r>
        <w:rPr>
          <w:rFonts w:hint="eastAsia" w:ascii="宋体" w:hAnsi="宋体" w:eastAsia="宋体" w:cs="宋体"/>
          <w:color w:val="auto"/>
        </w:rPr>
        <w:t>《室外排水设计标准》（GB 50014-2021）；</w:t>
      </w:r>
    </w:p>
    <w:p w14:paraId="1681D36B">
      <w:pPr>
        <w:pStyle w:val="71"/>
        <w:numPr>
          <w:ilvl w:val="0"/>
          <w:numId w:val="3"/>
        </w:numPr>
        <w:snapToGrid/>
        <w:ind w:firstLine="480"/>
        <w:rPr>
          <w:rFonts w:hint="eastAsia" w:ascii="宋体" w:hAnsi="宋体" w:eastAsia="宋体" w:cs="宋体"/>
          <w:color w:val="auto"/>
        </w:rPr>
      </w:pPr>
      <w:r>
        <w:rPr>
          <w:rFonts w:hint="eastAsia" w:ascii="宋体" w:hAnsi="宋体" w:eastAsia="宋体" w:cs="宋体"/>
          <w:color w:val="auto"/>
        </w:rPr>
        <w:t>《镇（乡）村排水工程技术规范》（CJJ 124-2008）；</w:t>
      </w:r>
    </w:p>
    <w:p w14:paraId="4007117C">
      <w:pPr>
        <w:pStyle w:val="71"/>
        <w:numPr>
          <w:ilvl w:val="0"/>
          <w:numId w:val="3"/>
        </w:numPr>
        <w:snapToGrid/>
        <w:ind w:firstLine="480"/>
        <w:rPr>
          <w:rFonts w:hint="eastAsia" w:ascii="宋体" w:hAnsi="宋体" w:eastAsia="宋体" w:cs="宋体"/>
          <w:color w:val="auto"/>
        </w:rPr>
      </w:pPr>
      <w:r>
        <w:rPr>
          <w:rFonts w:hint="eastAsia" w:ascii="宋体" w:hAnsi="宋体" w:eastAsia="宋体" w:cs="宋体"/>
          <w:color w:val="auto"/>
        </w:rPr>
        <w:t>《给水排水管道工程施工及验收规范》（GB 50268-2008）；</w:t>
      </w:r>
    </w:p>
    <w:p w14:paraId="278212E8">
      <w:pPr>
        <w:pStyle w:val="71"/>
        <w:numPr>
          <w:ilvl w:val="0"/>
          <w:numId w:val="3"/>
        </w:numPr>
        <w:snapToGrid/>
        <w:ind w:firstLine="480"/>
        <w:rPr>
          <w:rFonts w:hint="eastAsia" w:ascii="宋体" w:hAnsi="宋体" w:eastAsia="宋体" w:cs="宋体"/>
          <w:color w:val="auto"/>
        </w:rPr>
      </w:pPr>
      <w:r>
        <w:rPr>
          <w:rFonts w:hint="eastAsia" w:ascii="宋体" w:hAnsi="宋体" w:eastAsia="宋体" w:cs="宋体"/>
          <w:color w:val="auto"/>
        </w:rPr>
        <w:t>《给水排水工程管道结构设计规范》（GB 50332-2002）；</w:t>
      </w:r>
    </w:p>
    <w:p w14:paraId="046251FD">
      <w:pPr>
        <w:pStyle w:val="71"/>
        <w:numPr>
          <w:ilvl w:val="0"/>
          <w:numId w:val="3"/>
        </w:numPr>
        <w:snapToGrid/>
        <w:ind w:firstLine="480"/>
        <w:rPr>
          <w:rFonts w:hint="eastAsia" w:ascii="宋体" w:hAnsi="宋体" w:eastAsia="宋体" w:cs="宋体"/>
          <w:color w:val="auto"/>
        </w:rPr>
      </w:pPr>
      <w:r>
        <w:rPr>
          <w:rFonts w:hint="eastAsia" w:ascii="宋体" w:hAnsi="宋体" w:eastAsia="宋体" w:cs="宋体"/>
          <w:color w:val="auto"/>
        </w:rPr>
        <w:t>《给水排水构筑物工程施工及验收规范》（GB 50141-2008）；</w:t>
      </w:r>
    </w:p>
    <w:p w14:paraId="2F40D71D">
      <w:pPr>
        <w:pStyle w:val="71"/>
        <w:numPr>
          <w:ilvl w:val="0"/>
          <w:numId w:val="3"/>
        </w:numPr>
        <w:snapToGrid/>
        <w:ind w:firstLine="480"/>
        <w:rPr>
          <w:rFonts w:hint="eastAsia" w:ascii="宋体" w:hAnsi="宋体" w:eastAsia="宋体" w:cs="宋体"/>
          <w:color w:val="auto"/>
        </w:rPr>
      </w:pPr>
      <w:r>
        <w:rPr>
          <w:rFonts w:hint="eastAsia" w:ascii="宋体" w:hAnsi="宋体" w:eastAsia="宋体" w:cs="宋体"/>
          <w:color w:val="auto"/>
        </w:rPr>
        <w:t>《城市排水工程规划规范》（GB 50318-2017）；</w:t>
      </w:r>
    </w:p>
    <w:p w14:paraId="65A6B6BB">
      <w:pPr>
        <w:pStyle w:val="71"/>
        <w:snapToGrid/>
        <w:ind w:firstLine="480"/>
        <w:jc w:val="left"/>
        <w:rPr>
          <w:rFonts w:hint="eastAsia" w:ascii="宋体" w:hAnsi="宋体" w:eastAsia="宋体" w:cs="宋体"/>
          <w:color w:val="auto"/>
        </w:rPr>
      </w:pPr>
      <w:r>
        <w:rPr>
          <w:rFonts w:hint="eastAsia" w:ascii="宋体" w:hAnsi="宋体" w:eastAsia="宋体" w:cs="宋体"/>
          <w:color w:val="auto"/>
        </w:rPr>
        <w:t>8、《室外给水排水和燃气热力工程抗震设计规范》（GB 50032-2003）；</w:t>
      </w:r>
    </w:p>
    <w:p w14:paraId="51525AA6">
      <w:pPr>
        <w:pStyle w:val="71"/>
        <w:snapToGrid/>
        <w:ind w:firstLine="480"/>
        <w:jc w:val="left"/>
        <w:rPr>
          <w:rFonts w:hint="eastAsia" w:ascii="宋体" w:hAnsi="宋体" w:eastAsia="宋体" w:cs="宋体"/>
          <w:color w:val="auto"/>
        </w:rPr>
      </w:pPr>
      <w:r>
        <w:rPr>
          <w:rFonts w:hint="eastAsia" w:ascii="宋体" w:hAnsi="宋体" w:eastAsia="宋体" w:cs="宋体"/>
          <w:color w:val="auto"/>
        </w:rPr>
        <w:t>9、《民用建筑节水设计标准》（GB 50555-2010）；</w:t>
      </w:r>
    </w:p>
    <w:p w14:paraId="43C80CB4">
      <w:pPr>
        <w:pStyle w:val="71"/>
        <w:snapToGrid/>
        <w:ind w:firstLine="480"/>
        <w:jc w:val="left"/>
        <w:rPr>
          <w:rFonts w:hint="eastAsia" w:ascii="宋体" w:hAnsi="宋体" w:eastAsia="宋体" w:cs="宋体"/>
          <w:color w:val="auto"/>
        </w:rPr>
      </w:pPr>
      <w:r>
        <w:rPr>
          <w:rFonts w:hint="eastAsia" w:ascii="宋体" w:hAnsi="宋体" w:eastAsia="宋体" w:cs="宋体"/>
          <w:color w:val="auto"/>
        </w:rPr>
        <w:t>10、《建筑给水排水设计</w:t>
      </w:r>
      <w:r>
        <w:rPr>
          <w:rFonts w:hint="eastAsia" w:ascii="宋体" w:hAnsi="宋体" w:eastAsia="宋体" w:cs="宋体"/>
          <w:color w:val="auto"/>
          <w:lang w:val="en-US" w:eastAsia="zh-CN"/>
        </w:rPr>
        <w:t>标准</w:t>
      </w:r>
      <w:r>
        <w:rPr>
          <w:rFonts w:hint="eastAsia" w:ascii="宋体" w:hAnsi="宋体" w:eastAsia="宋体" w:cs="宋体"/>
          <w:color w:val="auto"/>
        </w:rPr>
        <w:t>》（GB 50015-2019）；</w:t>
      </w:r>
    </w:p>
    <w:p w14:paraId="784F5CEB">
      <w:pPr>
        <w:pStyle w:val="71"/>
        <w:snapToGrid/>
        <w:ind w:firstLine="480"/>
        <w:jc w:val="left"/>
        <w:rPr>
          <w:rFonts w:hint="eastAsia" w:ascii="宋体" w:hAnsi="宋体" w:eastAsia="宋体" w:cs="宋体"/>
          <w:color w:val="auto"/>
        </w:rPr>
      </w:pPr>
      <w:r>
        <w:rPr>
          <w:rFonts w:hint="eastAsia" w:ascii="宋体" w:hAnsi="宋体" w:eastAsia="宋体" w:cs="宋体"/>
          <w:color w:val="auto"/>
          <w:lang w:val="en-US" w:eastAsia="zh-CN"/>
        </w:rPr>
        <w:t>11、《</w:t>
      </w:r>
      <w:r>
        <w:rPr>
          <w:rFonts w:hint="eastAsia" w:ascii="宋体" w:hAnsi="宋体" w:eastAsia="宋体" w:cs="宋体"/>
          <w:color w:val="auto"/>
        </w:rPr>
        <w:t>农村生活污水处理设施水污染物排放标准</w:t>
      </w:r>
      <w:r>
        <w:rPr>
          <w:rFonts w:hint="eastAsia" w:ascii="宋体" w:hAnsi="宋体" w:eastAsia="宋体" w:cs="宋体"/>
          <w:color w:val="auto"/>
          <w:lang w:val="en-US" w:eastAsia="zh-CN"/>
        </w:rPr>
        <w:t>》（</w:t>
      </w:r>
      <w:r>
        <w:rPr>
          <w:rFonts w:hint="eastAsia" w:ascii="宋体" w:hAnsi="宋体" w:eastAsia="宋体" w:cs="宋体"/>
          <w:color w:val="auto"/>
        </w:rPr>
        <w:t>DB45_2413-2021</w:t>
      </w:r>
      <w:r>
        <w:rPr>
          <w:rFonts w:hint="eastAsia" w:ascii="宋体" w:hAnsi="宋体" w:eastAsia="宋体" w:cs="宋体"/>
          <w:color w:val="auto"/>
          <w:lang w:val="en-US" w:eastAsia="zh-CN"/>
        </w:rPr>
        <w:t>）</w:t>
      </w:r>
    </w:p>
    <w:p w14:paraId="3D661CCF">
      <w:pPr>
        <w:pStyle w:val="71"/>
        <w:snapToGrid/>
        <w:ind w:firstLine="480"/>
        <w:jc w:val="left"/>
        <w:rPr>
          <w:rFonts w:hint="eastAsia" w:ascii="宋体" w:hAnsi="宋体" w:eastAsia="宋体" w:cs="宋体"/>
          <w:color w:val="auto"/>
        </w:rPr>
      </w:pPr>
      <w:r>
        <w:rPr>
          <w:rFonts w:hint="eastAsia" w:ascii="宋体" w:hAnsi="宋体" w:eastAsia="宋体" w:cs="宋体"/>
          <w:color w:val="auto"/>
        </w:rPr>
        <w:t>12、《市政公用工程设计文件编制深度规定》（2013年版）；</w:t>
      </w:r>
    </w:p>
    <w:p w14:paraId="1A9B046C">
      <w:pPr>
        <w:pStyle w:val="71"/>
        <w:snapToGrid/>
        <w:ind w:firstLine="480"/>
        <w:jc w:val="left"/>
        <w:rPr>
          <w:rFonts w:hint="eastAsia" w:ascii="宋体" w:hAnsi="宋体" w:eastAsia="宋体" w:cs="宋体"/>
          <w:snapToGrid w:val="0"/>
          <w:color w:val="auto"/>
          <w:kern w:val="0"/>
        </w:rPr>
      </w:pPr>
      <w:r>
        <w:rPr>
          <w:rFonts w:hint="eastAsia" w:ascii="宋体" w:hAnsi="宋体" w:eastAsia="宋体" w:cs="宋体"/>
          <w:color w:val="auto"/>
        </w:rPr>
        <w:t>13、</w:t>
      </w:r>
      <w:r>
        <w:rPr>
          <w:rFonts w:hint="eastAsia" w:ascii="宋体" w:hAnsi="宋体" w:eastAsia="宋体" w:cs="宋体"/>
          <w:snapToGrid w:val="0"/>
          <w:color w:val="auto"/>
          <w:kern w:val="0"/>
        </w:rPr>
        <w:t>《检查井盖》(GB/T23858-2009)；</w:t>
      </w:r>
    </w:p>
    <w:p w14:paraId="6D5AB0C0">
      <w:pPr>
        <w:pStyle w:val="71"/>
        <w:snapToGrid/>
        <w:ind w:firstLine="480"/>
        <w:jc w:val="left"/>
        <w:rPr>
          <w:rFonts w:hint="eastAsia" w:ascii="宋体" w:hAnsi="宋体" w:eastAsia="宋体" w:cs="宋体"/>
          <w:snapToGrid w:val="0"/>
          <w:color w:val="auto"/>
          <w:kern w:val="0"/>
        </w:rPr>
      </w:pPr>
      <w:r>
        <w:rPr>
          <w:rFonts w:hint="eastAsia" w:ascii="宋体" w:hAnsi="宋体" w:eastAsia="宋体" w:cs="宋体"/>
          <w:snapToGrid w:val="0"/>
          <w:color w:val="auto"/>
          <w:kern w:val="0"/>
        </w:rPr>
        <w:t>14、《铸铁检查井盖》(CJ/T511-2017)；</w:t>
      </w:r>
    </w:p>
    <w:p w14:paraId="24F8A651">
      <w:pPr>
        <w:pStyle w:val="71"/>
        <w:snapToGrid/>
        <w:ind w:firstLine="480"/>
        <w:rPr>
          <w:rFonts w:hint="eastAsia" w:ascii="宋体" w:hAnsi="宋体" w:eastAsia="宋体" w:cs="宋体"/>
          <w:color w:val="auto"/>
        </w:rPr>
      </w:pPr>
      <w:r>
        <w:rPr>
          <w:rFonts w:hint="eastAsia" w:ascii="宋体" w:hAnsi="宋体" w:eastAsia="宋体" w:cs="宋体"/>
          <w:color w:val="auto"/>
        </w:rPr>
        <w:t>15、《市政排水管道工程及附属设施》（06MS201）；</w:t>
      </w:r>
    </w:p>
    <w:p w14:paraId="447166D5">
      <w:pPr>
        <w:pStyle w:val="71"/>
        <w:snapToGrid/>
        <w:ind w:firstLine="480"/>
        <w:rPr>
          <w:rFonts w:hint="eastAsia" w:ascii="宋体" w:hAnsi="宋体" w:eastAsia="宋体" w:cs="宋体"/>
          <w:color w:val="auto"/>
        </w:rPr>
      </w:pPr>
      <w:r>
        <w:rPr>
          <w:rFonts w:hint="eastAsia" w:ascii="宋体" w:hAnsi="宋体" w:eastAsia="宋体" w:cs="宋体"/>
          <w:color w:val="auto"/>
        </w:rPr>
        <w:t>16、《钢筋混凝土及砖砌排水检查井》（20S515）；</w:t>
      </w:r>
    </w:p>
    <w:p w14:paraId="6A347B24">
      <w:pPr>
        <w:pStyle w:val="71"/>
        <w:snapToGrid/>
        <w:ind w:firstLine="480"/>
        <w:rPr>
          <w:rFonts w:hint="eastAsia" w:ascii="宋体" w:hAnsi="宋体" w:eastAsia="宋体" w:cs="宋体"/>
          <w:color w:val="auto"/>
          <w:highlight w:val="none"/>
        </w:rPr>
      </w:pPr>
      <w:r>
        <w:rPr>
          <w:rFonts w:hint="eastAsia" w:ascii="宋体" w:hAnsi="宋体" w:eastAsia="宋体" w:cs="宋体"/>
          <w:color w:val="auto"/>
          <w:highlight w:val="none"/>
        </w:rPr>
        <w:t>17、《小城镇污水处理建设标准》建标148-2010；</w:t>
      </w:r>
    </w:p>
    <w:p w14:paraId="7E02FCFA">
      <w:pPr>
        <w:pStyle w:val="71"/>
        <w:snapToGrid/>
        <w:ind w:firstLine="480"/>
        <w:rPr>
          <w:rFonts w:hint="eastAsia" w:ascii="宋体" w:hAnsi="宋体" w:eastAsia="宋体" w:cs="宋体"/>
          <w:color w:val="auto"/>
          <w:highlight w:val="none"/>
        </w:rPr>
      </w:pPr>
      <w:r>
        <w:rPr>
          <w:rFonts w:hint="eastAsia" w:ascii="宋体" w:hAnsi="宋体" w:eastAsia="宋体" w:cs="宋体"/>
          <w:color w:val="auto"/>
          <w:highlight w:val="none"/>
        </w:rPr>
        <w:t>18、《国家电网公司380/220V架空配电线路典型设计（2014版）》；</w:t>
      </w:r>
    </w:p>
    <w:p w14:paraId="3819BD60">
      <w:pPr>
        <w:pStyle w:val="71"/>
        <w:snapToGrid/>
        <w:ind w:firstLine="480"/>
        <w:rPr>
          <w:rFonts w:hint="eastAsia" w:ascii="宋体" w:hAnsi="宋体" w:eastAsia="宋体" w:cs="宋体"/>
          <w:color w:val="auto"/>
          <w:highlight w:val="none"/>
        </w:rPr>
      </w:pPr>
      <w:r>
        <w:rPr>
          <w:rFonts w:hint="eastAsia" w:ascii="宋体" w:hAnsi="宋体" w:eastAsia="宋体" w:cs="宋体"/>
          <w:color w:val="auto"/>
          <w:highlight w:val="none"/>
        </w:rPr>
        <w:t>19、《低压配电系统设计规范》 GB50052-2024；</w:t>
      </w:r>
    </w:p>
    <w:p w14:paraId="40F7D591">
      <w:pPr>
        <w:pStyle w:val="71"/>
        <w:snapToGrid/>
        <w:ind w:firstLine="480"/>
        <w:rPr>
          <w:rFonts w:hint="eastAsia" w:ascii="宋体" w:hAnsi="宋体" w:eastAsia="宋体" w:cs="宋体"/>
          <w:color w:val="auto"/>
          <w:highlight w:val="none"/>
        </w:rPr>
      </w:pPr>
      <w:r>
        <w:rPr>
          <w:rFonts w:hint="eastAsia" w:ascii="宋体" w:hAnsi="宋体" w:eastAsia="宋体" w:cs="宋体"/>
          <w:color w:val="auto"/>
          <w:highlight w:val="none"/>
        </w:rPr>
        <w:t>20、《交流电气装置的接地设计规范》 GB50065-2018；</w:t>
      </w:r>
    </w:p>
    <w:p w14:paraId="36D96A00">
      <w:pPr>
        <w:pStyle w:val="71"/>
        <w:snapToGrid/>
        <w:ind w:firstLine="480"/>
        <w:rPr>
          <w:rFonts w:hint="eastAsia" w:ascii="宋体" w:hAnsi="宋体" w:eastAsia="宋体" w:cs="宋体"/>
          <w:color w:val="auto"/>
          <w:highlight w:val="none"/>
        </w:rPr>
      </w:pPr>
      <w:r>
        <w:rPr>
          <w:rFonts w:hint="eastAsia" w:ascii="宋体" w:hAnsi="宋体" w:eastAsia="宋体" w:cs="宋体"/>
          <w:color w:val="auto"/>
          <w:highlight w:val="none"/>
        </w:rPr>
        <w:t>21、《建筑物防雷设计规范》GB50057-2022；</w:t>
      </w:r>
    </w:p>
    <w:p w14:paraId="32878D59">
      <w:pPr>
        <w:pStyle w:val="71"/>
        <w:snapToGrid/>
        <w:ind w:firstLine="480"/>
        <w:rPr>
          <w:rFonts w:hint="eastAsia" w:ascii="宋体" w:hAnsi="宋体" w:eastAsia="宋体" w:cs="宋体"/>
          <w:color w:val="auto"/>
          <w:highlight w:val="none"/>
          <w:lang w:eastAsia="zh-CN"/>
        </w:rPr>
      </w:pPr>
      <w:r>
        <w:rPr>
          <w:rFonts w:hint="eastAsia" w:ascii="宋体" w:hAnsi="宋体" w:eastAsia="宋体" w:cs="宋体"/>
          <w:color w:val="auto"/>
          <w:highlight w:val="none"/>
        </w:rPr>
        <w:t>22、《电力工程电缆设计标准》GB50217-2022</w:t>
      </w:r>
      <w:r>
        <w:rPr>
          <w:rFonts w:hint="eastAsia" w:ascii="宋体" w:hAnsi="宋体" w:eastAsia="宋体" w:cs="宋体"/>
          <w:color w:val="auto"/>
          <w:highlight w:val="none"/>
          <w:lang w:eastAsia="zh-CN"/>
        </w:rPr>
        <w:t>；</w:t>
      </w:r>
    </w:p>
    <w:p w14:paraId="7D1F4D23">
      <w:pPr>
        <w:pStyle w:val="71"/>
        <w:snapToGrid/>
        <w:ind w:firstLine="480"/>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23</w:t>
      </w:r>
      <w:r>
        <w:rPr>
          <w:rFonts w:hint="eastAsia" w:ascii="宋体" w:hAnsi="宋体" w:eastAsia="宋体" w:cs="宋体"/>
          <w:color w:val="auto"/>
          <w:highlight w:val="none"/>
        </w:rPr>
        <w:t>、《建筑与市政工程抗震通用规范》（GB55002-2021）。</w:t>
      </w:r>
    </w:p>
    <w:p w14:paraId="70900C87">
      <w:pPr>
        <w:pStyle w:val="3"/>
        <w:numPr>
          <w:ilvl w:val="0"/>
          <w:numId w:val="2"/>
        </w:numPr>
        <w:spacing w:before="0" w:after="0" w:line="360" w:lineRule="auto"/>
        <w:ind w:firstLine="482"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管</w:t>
      </w:r>
      <w:r>
        <w:rPr>
          <w:rFonts w:hint="eastAsia" w:ascii="宋体" w:hAnsi="宋体" w:eastAsia="宋体" w:cs="宋体"/>
          <w:color w:val="auto"/>
          <w:sz w:val="24"/>
          <w:szCs w:val="24"/>
          <w:lang w:val="en-US" w:eastAsia="zh-CN"/>
        </w:rPr>
        <w:t>道</w:t>
      </w:r>
      <w:r>
        <w:rPr>
          <w:rFonts w:hint="eastAsia" w:ascii="宋体" w:hAnsi="宋体" w:eastAsia="宋体" w:cs="宋体"/>
          <w:color w:val="auto"/>
          <w:sz w:val="24"/>
          <w:szCs w:val="24"/>
        </w:rPr>
        <w:t>设计</w:t>
      </w:r>
    </w:p>
    <w:p w14:paraId="04833F4A">
      <w:pPr>
        <w:pStyle w:val="3"/>
        <w:numPr>
          <w:ilvl w:val="0"/>
          <w:numId w:val="0"/>
        </w:numPr>
        <w:spacing w:before="0" w:after="0" w:line="360" w:lineRule="auto"/>
        <w:ind w:left="482" w:leftChars="0"/>
        <w:jc w:val="left"/>
        <w:rPr>
          <w:rFonts w:hint="eastAsia" w:ascii="宋体" w:hAnsi="宋体" w:eastAsia="宋体" w:cs="宋体"/>
          <w:color w:val="auto"/>
          <w:sz w:val="24"/>
          <w:szCs w:val="24"/>
        </w:rPr>
      </w:pP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一</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设计标准</w:t>
      </w:r>
    </w:p>
    <w:p w14:paraId="0F099498">
      <w:pPr>
        <w:spacing w:line="360" w:lineRule="auto"/>
        <w:ind w:firstLine="480" w:firstLineChars="200"/>
        <w:jc w:val="left"/>
        <w:rPr>
          <w:rFonts w:hint="eastAsia" w:ascii="宋体" w:hAnsi="宋体" w:eastAsia="宋体" w:cs="宋体"/>
          <w:snapToGrid w:val="0"/>
          <w:color w:val="auto"/>
          <w:kern w:val="0"/>
          <w:sz w:val="24"/>
          <w:szCs w:val="24"/>
          <w:lang w:val="en-US" w:eastAsia="zh-CN"/>
        </w:rPr>
      </w:pPr>
      <w:r>
        <w:rPr>
          <w:rFonts w:hint="eastAsia" w:ascii="宋体" w:hAnsi="宋体" w:eastAsia="宋体" w:cs="宋体"/>
          <w:snapToGrid w:val="0"/>
          <w:color w:val="auto"/>
          <w:kern w:val="0"/>
          <w:sz w:val="24"/>
          <w:szCs w:val="24"/>
          <w:lang w:val="en-US" w:eastAsia="zh-CN"/>
        </w:rPr>
        <w:t>本工程排水体制采用雨污分流制的形式。</w:t>
      </w:r>
    </w:p>
    <w:p w14:paraId="597A03DD">
      <w:pPr>
        <w:pStyle w:val="3"/>
        <w:numPr>
          <w:ilvl w:val="0"/>
          <w:numId w:val="0"/>
        </w:numPr>
        <w:spacing w:before="0" w:after="0" w:line="360" w:lineRule="auto"/>
        <w:ind w:left="482" w:leftChars="0"/>
        <w:jc w:val="left"/>
        <w:rPr>
          <w:rFonts w:hint="eastAsia" w:ascii="宋体" w:hAnsi="宋体" w:eastAsia="宋体" w:cs="宋体"/>
          <w:color w:val="auto"/>
          <w:sz w:val="24"/>
          <w:szCs w:val="24"/>
        </w:rPr>
      </w:pP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二</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管材及基础</w:t>
      </w:r>
    </w:p>
    <w:p w14:paraId="46063531">
      <w:pPr>
        <w:spacing w:line="360" w:lineRule="auto"/>
        <w:ind w:firstLine="480" w:firstLineChars="200"/>
        <w:jc w:val="left"/>
        <w:rPr>
          <w:rFonts w:hint="eastAsia" w:ascii="宋体" w:hAnsi="宋体" w:eastAsia="宋体" w:cs="宋体"/>
          <w:snapToGrid w:val="0"/>
          <w:color w:val="auto"/>
          <w:kern w:val="0"/>
          <w:sz w:val="24"/>
          <w:szCs w:val="24"/>
          <w:lang w:val="en-US" w:eastAsia="zh-CN"/>
        </w:rPr>
      </w:pPr>
      <w:r>
        <w:rPr>
          <w:rFonts w:hint="eastAsia" w:ascii="宋体" w:hAnsi="宋体" w:cs="宋体"/>
          <w:snapToGrid w:val="0"/>
          <w:color w:val="auto"/>
          <w:kern w:val="0"/>
          <w:sz w:val="24"/>
          <w:szCs w:val="24"/>
          <w:lang w:val="en-US" w:eastAsia="zh-CN"/>
        </w:rPr>
        <w:t>1、</w:t>
      </w:r>
      <w:r>
        <w:rPr>
          <w:rFonts w:hint="eastAsia" w:ascii="宋体" w:hAnsi="宋体" w:eastAsia="宋体" w:cs="宋体"/>
          <w:snapToGrid w:val="0"/>
          <w:color w:val="auto"/>
          <w:kern w:val="0"/>
          <w:sz w:val="24"/>
          <w:szCs w:val="24"/>
          <w:lang w:val="en-US" w:eastAsia="zh-CN"/>
        </w:rPr>
        <w:t>污水主管采用</w:t>
      </w:r>
      <w:r>
        <w:rPr>
          <w:rFonts w:hint="eastAsia" w:ascii="宋体" w:hAnsi="宋体" w:cs="宋体"/>
          <w:snapToGrid w:val="0"/>
          <w:color w:val="auto"/>
          <w:kern w:val="0"/>
          <w:sz w:val="24"/>
          <w:szCs w:val="24"/>
          <w:lang w:val="en-US" w:eastAsia="zh-CN"/>
        </w:rPr>
        <w:t>聚乙烯（HDPE）缠绕结构壁B型管</w:t>
      </w:r>
      <w:r>
        <w:rPr>
          <w:rFonts w:hint="eastAsia" w:ascii="宋体" w:hAnsi="宋体" w:eastAsia="宋体" w:cs="宋体"/>
          <w:snapToGrid w:val="0"/>
          <w:color w:val="auto"/>
          <w:kern w:val="0"/>
          <w:sz w:val="24"/>
          <w:szCs w:val="24"/>
          <w:lang w:val="en-US" w:eastAsia="zh-CN"/>
        </w:rPr>
        <w:t>，环刚度≥8KN/㎡，橡胶圈承插连接，管材需满足《埋地用聚乙烯（PE）结构壁管道系统 第</w:t>
      </w:r>
      <w:r>
        <w:rPr>
          <w:rFonts w:hint="eastAsia" w:ascii="宋体" w:hAnsi="宋体" w:cs="宋体"/>
          <w:snapToGrid w:val="0"/>
          <w:color w:val="auto"/>
          <w:kern w:val="0"/>
          <w:sz w:val="24"/>
          <w:szCs w:val="24"/>
          <w:lang w:val="en-US" w:eastAsia="zh-CN"/>
        </w:rPr>
        <w:t>2</w:t>
      </w:r>
      <w:r>
        <w:rPr>
          <w:rFonts w:hint="eastAsia" w:ascii="宋体" w:hAnsi="宋体" w:eastAsia="宋体" w:cs="宋体"/>
          <w:snapToGrid w:val="0"/>
          <w:color w:val="auto"/>
          <w:kern w:val="0"/>
          <w:sz w:val="24"/>
          <w:szCs w:val="24"/>
          <w:lang w:val="en-US" w:eastAsia="zh-CN"/>
        </w:rPr>
        <w:t>部分：聚乙烯</w:t>
      </w:r>
      <w:r>
        <w:rPr>
          <w:rFonts w:hint="eastAsia" w:ascii="宋体" w:hAnsi="宋体" w:cs="宋体"/>
          <w:snapToGrid w:val="0"/>
          <w:color w:val="auto"/>
          <w:kern w:val="0"/>
          <w:sz w:val="24"/>
          <w:szCs w:val="24"/>
          <w:lang w:val="en-US" w:eastAsia="zh-CN"/>
        </w:rPr>
        <w:t>缠绕结构壁</w:t>
      </w:r>
      <w:r>
        <w:rPr>
          <w:rFonts w:hint="eastAsia" w:ascii="宋体" w:hAnsi="宋体" w:eastAsia="宋体" w:cs="宋体"/>
          <w:snapToGrid w:val="0"/>
          <w:color w:val="auto"/>
          <w:kern w:val="0"/>
          <w:sz w:val="24"/>
          <w:szCs w:val="24"/>
          <w:lang w:val="en-US" w:eastAsia="zh-CN"/>
        </w:rPr>
        <w:t>管材》（GBT19472.</w:t>
      </w:r>
      <w:r>
        <w:rPr>
          <w:rFonts w:hint="eastAsia" w:ascii="宋体" w:hAnsi="宋体" w:cs="宋体"/>
          <w:snapToGrid w:val="0"/>
          <w:color w:val="auto"/>
          <w:kern w:val="0"/>
          <w:sz w:val="24"/>
          <w:szCs w:val="24"/>
          <w:lang w:val="en-US" w:eastAsia="zh-CN"/>
        </w:rPr>
        <w:t>2</w:t>
      </w:r>
      <w:r>
        <w:rPr>
          <w:rFonts w:hint="eastAsia" w:ascii="宋体" w:hAnsi="宋体" w:eastAsia="宋体" w:cs="宋体"/>
          <w:snapToGrid w:val="0"/>
          <w:color w:val="auto"/>
          <w:kern w:val="0"/>
          <w:sz w:val="24"/>
          <w:szCs w:val="24"/>
          <w:lang w:val="en-US" w:eastAsia="zh-CN"/>
        </w:rPr>
        <w:t>-201</w:t>
      </w:r>
      <w:r>
        <w:rPr>
          <w:rFonts w:hint="eastAsia" w:ascii="宋体" w:hAnsi="宋体" w:cs="宋体"/>
          <w:snapToGrid w:val="0"/>
          <w:color w:val="auto"/>
          <w:kern w:val="0"/>
          <w:sz w:val="24"/>
          <w:szCs w:val="24"/>
          <w:lang w:val="en-US" w:eastAsia="zh-CN"/>
        </w:rPr>
        <w:t>7</w:t>
      </w:r>
      <w:r>
        <w:rPr>
          <w:rFonts w:hint="eastAsia" w:ascii="宋体" w:hAnsi="宋体" w:eastAsia="宋体" w:cs="宋体"/>
          <w:snapToGrid w:val="0"/>
          <w:color w:val="auto"/>
          <w:kern w:val="0"/>
          <w:sz w:val="24"/>
          <w:szCs w:val="24"/>
          <w:lang w:val="en-US" w:eastAsia="zh-CN"/>
        </w:rPr>
        <w:t>）的要求。</w:t>
      </w:r>
    </w:p>
    <w:p w14:paraId="05C397F6">
      <w:pPr>
        <w:spacing w:line="360" w:lineRule="auto"/>
        <w:ind w:firstLine="480" w:firstLineChars="200"/>
        <w:jc w:val="left"/>
        <w:rPr>
          <w:rFonts w:hint="eastAsia" w:ascii="宋体" w:hAnsi="宋体" w:eastAsia="宋体" w:cs="宋体"/>
          <w:snapToGrid w:val="0"/>
          <w:color w:val="auto"/>
          <w:kern w:val="0"/>
          <w:sz w:val="24"/>
          <w:szCs w:val="24"/>
          <w:lang w:val="en-US" w:eastAsia="zh-CN"/>
        </w:rPr>
      </w:pPr>
      <w:r>
        <w:rPr>
          <w:rFonts w:hint="eastAsia" w:ascii="宋体" w:hAnsi="宋体" w:cs="宋体"/>
          <w:snapToGrid w:val="0"/>
          <w:color w:val="auto"/>
          <w:kern w:val="0"/>
          <w:sz w:val="24"/>
          <w:szCs w:val="24"/>
          <w:lang w:val="en-US" w:eastAsia="zh-CN"/>
        </w:rPr>
        <w:t>2、</w:t>
      </w:r>
      <w:r>
        <w:rPr>
          <w:rFonts w:hint="eastAsia" w:ascii="宋体" w:hAnsi="宋体" w:eastAsia="宋体" w:cs="宋体"/>
          <w:snapToGrid w:val="0"/>
          <w:color w:val="auto"/>
          <w:kern w:val="0"/>
          <w:sz w:val="24"/>
          <w:szCs w:val="24"/>
          <w:lang w:val="en-US" w:eastAsia="zh-CN"/>
        </w:rPr>
        <w:t>埋地排水管道采用100mm厚</w:t>
      </w:r>
      <w:r>
        <w:rPr>
          <w:rFonts w:hint="eastAsia" w:ascii="宋体" w:hAnsi="宋体" w:cs="宋体"/>
          <w:snapToGrid w:val="0"/>
          <w:color w:val="auto"/>
          <w:kern w:val="0"/>
          <w:sz w:val="24"/>
          <w:szCs w:val="24"/>
          <w:lang w:val="en-US" w:eastAsia="zh-CN"/>
        </w:rPr>
        <w:t>石屑</w:t>
      </w:r>
      <w:r>
        <w:rPr>
          <w:rFonts w:hint="eastAsia" w:ascii="宋体" w:hAnsi="宋体" w:eastAsia="宋体" w:cs="宋体"/>
          <w:snapToGrid w:val="0"/>
          <w:color w:val="auto"/>
          <w:kern w:val="0"/>
          <w:sz w:val="24"/>
          <w:szCs w:val="24"/>
          <w:lang w:val="en-US" w:eastAsia="zh-CN"/>
        </w:rPr>
        <w:t>基础。</w:t>
      </w:r>
    </w:p>
    <w:p w14:paraId="310A62A0">
      <w:pPr>
        <w:spacing w:line="360" w:lineRule="auto"/>
        <w:ind w:firstLine="480" w:firstLineChars="200"/>
        <w:jc w:val="left"/>
        <w:rPr>
          <w:rFonts w:hint="eastAsia" w:ascii="宋体" w:hAnsi="宋体" w:eastAsia="宋体" w:cs="宋体"/>
          <w:color w:val="auto"/>
          <w:sz w:val="24"/>
          <w:shd w:val="clear" w:color="auto" w:fill="FFFFFF"/>
        </w:rPr>
      </w:pPr>
      <w:r>
        <w:rPr>
          <w:rFonts w:hint="eastAsia" w:ascii="宋体" w:hAnsi="宋体" w:cs="宋体"/>
          <w:color w:val="auto"/>
          <w:sz w:val="24"/>
          <w:shd w:val="clear" w:color="auto" w:fill="FFFFFF"/>
          <w:lang w:eastAsia="zh-CN"/>
        </w:rPr>
        <w:t>（</w:t>
      </w:r>
      <w:r>
        <w:rPr>
          <w:rFonts w:hint="eastAsia" w:ascii="宋体" w:hAnsi="宋体" w:cs="宋体"/>
          <w:color w:val="auto"/>
          <w:sz w:val="24"/>
          <w:shd w:val="clear" w:color="auto" w:fill="FFFFFF"/>
          <w:lang w:val="en-US" w:eastAsia="zh-CN"/>
        </w:rPr>
        <w:t>1</w:t>
      </w:r>
      <w:r>
        <w:rPr>
          <w:rFonts w:hint="eastAsia" w:ascii="宋体" w:hAnsi="宋体" w:cs="宋体"/>
          <w:color w:val="auto"/>
          <w:sz w:val="24"/>
          <w:shd w:val="clear" w:color="auto" w:fill="FFFFFF"/>
          <w:lang w:eastAsia="zh-CN"/>
        </w:rPr>
        <w:t>）</w:t>
      </w:r>
      <w:r>
        <w:rPr>
          <w:rFonts w:hint="eastAsia" w:ascii="宋体" w:hAnsi="宋体" w:eastAsia="宋体" w:cs="宋体"/>
          <w:color w:val="auto"/>
          <w:sz w:val="24"/>
          <w:shd w:val="clear" w:color="auto" w:fill="FFFFFF"/>
        </w:rPr>
        <w:t>对于一般土质，应在管底以下原状土地基或回填夯实的地基上铺设一层厚度为100mm的</w:t>
      </w:r>
      <w:r>
        <w:rPr>
          <w:rFonts w:hint="eastAsia" w:ascii="宋体" w:hAnsi="宋体" w:cs="宋体"/>
          <w:snapToGrid w:val="0"/>
          <w:color w:val="auto"/>
          <w:kern w:val="0"/>
          <w:sz w:val="24"/>
          <w:szCs w:val="24"/>
          <w:lang w:val="en-US" w:eastAsia="zh-CN"/>
        </w:rPr>
        <w:t>石屑</w:t>
      </w:r>
      <w:r>
        <w:rPr>
          <w:rFonts w:hint="eastAsia" w:ascii="宋体" w:hAnsi="宋体" w:eastAsia="宋体" w:cs="宋体"/>
          <w:color w:val="auto"/>
          <w:sz w:val="24"/>
          <w:shd w:val="clear" w:color="auto" w:fill="FFFFFF"/>
        </w:rPr>
        <w:t>基础层；</w:t>
      </w:r>
    </w:p>
    <w:p w14:paraId="4703F669">
      <w:pPr>
        <w:spacing w:line="360" w:lineRule="auto"/>
        <w:ind w:firstLine="480" w:firstLineChars="200"/>
        <w:jc w:val="left"/>
        <w:rPr>
          <w:rFonts w:hint="eastAsia" w:ascii="宋体" w:hAnsi="宋体" w:eastAsia="宋体" w:cs="宋体"/>
          <w:color w:val="auto"/>
          <w:sz w:val="24"/>
          <w:shd w:val="clear" w:color="auto" w:fill="FFFFFF"/>
        </w:rPr>
      </w:pPr>
      <w:r>
        <w:rPr>
          <w:rFonts w:hint="eastAsia" w:ascii="宋体" w:hAnsi="宋体" w:cs="宋体"/>
          <w:color w:val="auto"/>
          <w:sz w:val="24"/>
          <w:shd w:val="clear" w:color="auto" w:fill="FFFFFF"/>
          <w:lang w:eastAsia="zh-CN"/>
        </w:rPr>
        <w:t>（</w:t>
      </w:r>
      <w:r>
        <w:rPr>
          <w:rFonts w:hint="eastAsia" w:ascii="宋体" w:hAnsi="宋体" w:cs="宋体"/>
          <w:color w:val="auto"/>
          <w:sz w:val="24"/>
          <w:shd w:val="clear" w:color="auto" w:fill="FFFFFF"/>
          <w:lang w:val="en-US" w:eastAsia="zh-CN"/>
        </w:rPr>
        <w:t>2</w:t>
      </w:r>
      <w:r>
        <w:rPr>
          <w:rFonts w:hint="eastAsia" w:ascii="宋体" w:hAnsi="宋体" w:cs="宋体"/>
          <w:color w:val="auto"/>
          <w:sz w:val="24"/>
          <w:shd w:val="clear" w:color="auto" w:fill="FFFFFF"/>
          <w:lang w:eastAsia="zh-CN"/>
        </w:rPr>
        <w:t>）</w:t>
      </w:r>
      <w:r>
        <w:rPr>
          <w:rFonts w:hint="eastAsia" w:ascii="宋体" w:hAnsi="宋体" w:eastAsia="宋体" w:cs="宋体"/>
          <w:color w:val="auto"/>
          <w:sz w:val="24"/>
          <w:shd w:val="clear" w:color="auto" w:fill="FFFFFF"/>
        </w:rPr>
        <w:t>当地基土质较差时，可采用铺垫厚度不小于200mm的砂砾石基础层，也可分层铺设，下层用粒径5-32mm的碎石，厚度100-150mm，上层铺</w:t>
      </w:r>
      <w:r>
        <w:rPr>
          <w:rFonts w:hint="eastAsia" w:ascii="宋体" w:hAnsi="宋体" w:eastAsia="宋体" w:cs="宋体"/>
          <w:snapToGrid w:val="0"/>
          <w:color w:val="auto"/>
          <w:kern w:val="0"/>
          <w:sz w:val="24"/>
          <w:szCs w:val="24"/>
          <w:lang w:val="en-US" w:eastAsia="zh-CN"/>
        </w:rPr>
        <w:t>石粉渣</w:t>
      </w:r>
      <w:r>
        <w:rPr>
          <w:rFonts w:hint="eastAsia" w:ascii="宋体" w:hAnsi="宋体" w:eastAsia="宋体" w:cs="宋体"/>
          <w:color w:val="auto"/>
          <w:sz w:val="24"/>
          <w:shd w:val="clear" w:color="auto" w:fill="FFFFFF"/>
        </w:rPr>
        <w:t>，厚度不小于100mm；</w:t>
      </w:r>
    </w:p>
    <w:p w14:paraId="2506E965">
      <w:pPr>
        <w:spacing w:line="360" w:lineRule="auto"/>
        <w:ind w:firstLine="480" w:firstLineChars="200"/>
        <w:jc w:val="left"/>
        <w:rPr>
          <w:rFonts w:hint="eastAsia" w:ascii="宋体" w:hAnsi="宋体" w:eastAsia="宋体" w:cs="宋体"/>
          <w:color w:val="auto"/>
          <w:sz w:val="24"/>
          <w:shd w:val="clear" w:color="auto" w:fill="FFFFFF"/>
        </w:rPr>
      </w:pPr>
      <w:r>
        <w:rPr>
          <w:rFonts w:hint="eastAsia" w:ascii="宋体" w:hAnsi="宋体" w:cs="宋体"/>
          <w:color w:val="auto"/>
          <w:sz w:val="24"/>
          <w:shd w:val="clear" w:color="auto" w:fill="FFFFFF"/>
          <w:lang w:eastAsia="zh-CN"/>
        </w:rPr>
        <w:t>（</w:t>
      </w:r>
      <w:r>
        <w:rPr>
          <w:rFonts w:hint="eastAsia" w:ascii="宋体" w:hAnsi="宋体" w:cs="宋体"/>
          <w:color w:val="auto"/>
          <w:sz w:val="24"/>
          <w:shd w:val="clear" w:color="auto" w:fill="FFFFFF"/>
          <w:lang w:val="en-US" w:eastAsia="zh-CN"/>
        </w:rPr>
        <w:t>3</w:t>
      </w:r>
      <w:r>
        <w:rPr>
          <w:rFonts w:hint="eastAsia" w:ascii="宋体" w:hAnsi="宋体" w:cs="宋体"/>
          <w:color w:val="auto"/>
          <w:sz w:val="24"/>
          <w:shd w:val="clear" w:color="auto" w:fill="FFFFFF"/>
          <w:lang w:eastAsia="zh-CN"/>
        </w:rPr>
        <w:t>）</w:t>
      </w:r>
      <w:r>
        <w:rPr>
          <w:rFonts w:hint="eastAsia" w:ascii="宋体" w:hAnsi="宋体" w:eastAsia="宋体" w:cs="宋体"/>
          <w:color w:val="auto"/>
          <w:sz w:val="24"/>
          <w:shd w:val="clear" w:color="auto" w:fill="FFFFFF"/>
        </w:rPr>
        <w:t>当基础承载力小于100KPa或由于施工期降水等原因，地基原状土被扰动而影响地基承载能力时，必须对地基进行加固处理，在达到规范的地基承载力后，再敷设</w:t>
      </w:r>
      <w:r>
        <w:rPr>
          <w:rFonts w:hint="eastAsia" w:ascii="宋体" w:hAnsi="宋体" w:eastAsia="宋体" w:cs="宋体"/>
          <w:snapToGrid w:val="0"/>
          <w:color w:val="auto"/>
          <w:kern w:val="0"/>
          <w:sz w:val="24"/>
          <w:szCs w:val="24"/>
          <w:lang w:val="en-US" w:eastAsia="zh-CN"/>
        </w:rPr>
        <w:t>石粉渣</w:t>
      </w:r>
      <w:r>
        <w:rPr>
          <w:rFonts w:hint="eastAsia" w:ascii="宋体" w:hAnsi="宋体" w:eastAsia="宋体" w:cs="宋体"/>
          <w:color w:val="auto"/>
          <w:sz w:val="24"/>
          <w:shd w:val="clear" w:color="auto" w:fill="FFFFFF"/>
        </w:rPr>
        <w:t>砂基础层，若遇流沙、淤泥、松散杂填土等软弱地基，应采取加固措施（由设计人员现场处理）；</w:t>
      </w:r>
    </w:p>
    <w:p w14:paraId="093BE9B2">
      <w:pPr>
        <w:spacing w:line="360" w:lineRule="auto"/>
        <w:ind w:firstLine="480" w:firstLineChars="200"/>
        <w:jc w:val="left"/>
        <w:rPr>
          <w:rFonts w:hint="eastAsia" w:ascii="宋体" w:hAnsi="宋体" w:eastAsia="宋体" w:cs="宋体"/>
          <w:color w:val="auto"/>
          <w:sz w:val="24"/>
          <w:shd w:val="clear" w:color="auto" w:fill="FFFFFF"/>
        </w:rPr>
      </w:pPr>
      <w:r>
        <w:rPr>
          <w:rFonts w:hint="eastAsia" w:ascii="宋体" w:hAnsi="宋体" w:cs="宋体"/>
          <w:color w:val="auto"/>
          <w:sz w:val="24"/>
          <w:shd w:val="clear" w:color="auto" w:fill="FFFFFF"/>
          <w:lang w:eastAsia="zh-CN"/>
        </w:rPr>
        <w:t>（</w:t>
      </w:r>
      <w:r>
        <w:rPr>
          <w:rFonts w:hint="eastAsia" w:ascii="宋体" w:hAnsi="宋体" w:cs="宋体"/>
          <w:color w:val="auto"/>
          <w:sz w:val="24"/>
          <w:shd w:val="clear" w:color="auto" w:fill="FFFFFF"/>
          <w:lang w:val="en-US" w:eastAsia="zh-CN"/>
        </w:rPr>
        <w:t>4</w:t>
      </w:r>
      <w:r>
        <w:rPr>
          <w:rFonts w:hint="eastAsia" w:ascii="宋体" w:hAnsi="宋体" w:cs="宋体"/>
          <w:color w:val="auto"/>
          <w:sz w:val="24"/>
          <w:shd w:val="clear" w:color="auto" w:fill="FFFFFF"/>
          <w:lang w:eastAsia="zh-CN"/>
        </w:rPr>
        <w:t>）</w:t>
      </w:r>
      <w:r>
        <w:rPr>
          <w:rFonts w:hint="eastAsia" w:ascii="宋体" w:hAnsi="宋体" w:eastAsia="宋体" w:cs="宋体"/>
          <w:color w:val="auto"/>
          <w:sz w:val="24"/>
          <w:shd w:val="clear" w:color="auto" w:fill="FFFFFF"/>
        </w:rPr>
        <w:t>对于由于管道荷载</w:t>
      </w:r>
      <w:r>
        <w:rPr>
          <w:rFonts w:hint="eastAsia" w:ascii="宋体" w:hAnsi="宋体" w:eastAsia="宋体" w:cs="宋体"/>
          <w:color w:val="auto"/>
          <w:sz w:val="24"/>
          <w:shd w:val="clear" w:color="auto" w:fill="FFFFFF"/>
          <w:lang w:eastAsia="zh-CN"/>
        </w:rPr>
        <w:t>、</w:t>
      </w:r>
      <w:r>
        <w:rPr>
          <w:rFonts w:hint="eastAsia" w:ascii="宋体" w:hAnsi="宋体" w:eastAsia="宋体" w:cs="宋体"/>
          <w:color w:val="auto"/>
          <w:sz w:val="24"/>
          <w:shd w:val="clear" w:color="auto" w:fill="FFFFFF"/>
        </w:rPr>
        <w:t>地层土质变化等因素可能产生管道纵向局部不均匀沉降时，应在管道敷设前对地基进行加固处理。</w:t>
      </w:r>
    </w:p>
    <w:p w14:paraId="078DCD6A">
      <w:pPr>
        <w:pStyle w:val="3"/>
        <w:numPr>
          <w:ilvl w:val="0"/>
          <w:numId w:val="0"/>
        </w:numPr>
        <w:spacing w:before="0" w:after="0" w:line="360" w:lineRule="auto"/>
        <w:ind w:left="482" w:leftChars="0"/>
        <w:jc w:val="left"/>
        <w:rPr>
          <w:rFonts w:hint="eastAsia" w:ascii="宋体" w:hAnsi="宋体" w:eastAsia="宋体" w:cs="宋体"/>
          <w:color w:val="auto"/>
          <w:sz w:val="24"/>
          <w:szCs w:val="24"/>
        </w:rPr>
      </w:pP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三</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沟槽开挖及回填</w:t>
      </w:r>
    </w:p>
    <w:p w14:paraId="68AB7544">
      <w:pPr>
        <w:spacing w:line="360" w:lineRule="auto"/>
        <w:ind w:firstLine="480" w:firstLineChars="200"/>
        <w:jc w:val="left"/>
        <w:rPr>
          <w:rFonts w:hint="eastAsia" w:ascii="宋体" w:hAnsi="宋体" w:eastAsia="宋体" w:cs="宋体"/>
          <w:snapToGrid w:val="0"/>
          <w:color w:val="auto"/>
          <w:kern w:val="0"/>
          <w:sz w:val="24"/>
          <w:szCs w:val="24"/>
        </w:rPr>
      </w:pPr>
      <w:r>
        <w:rPr>
          <w:rFonts w:hint="eastAsia" w:ascii="宋体" w:hAnsi="宋体" w:cs="宋体"/>
          <w:snapToGrid w:val="0"/>
          <w:color w:val="auto"/>
          <w:kern w:val="0"/>
          <w:sz w:val="24"/>
          <w:szCs w:val="24"/>
          <w:lang w:val="en-US" w:eastAsia="zh-CN"/>
        </w:rPr>
        <w:t>1、</w:t>
      </w:r>
      <w:r>
        <w:rPr>
          <w:rFonts w:hint="eastAsia" w:ascii="宋体" w:hAnsi="宋体" w:eastAsia="宋体" w:cs="宋体"/>
          <w:snapToGrid w:val="0"/>
          <w:color w:val="auto"/>
          <w:kern w:val="0"/>
          <w:sz w:val="24"/>
          <w:szCs w:val="24"/>
        </w:rPr>
        <w:t>沟槽开挖：基管基坑槽的开挖及支护方案由施工单位根据工程地质条件和施工经验确定，但必须采取可靠措施保证边坡稳定，以确保施工人员及邻近构筑物和地下设施的安全。沟槽开挖的宽度、边坡坡度、分层开挖每层深度等应根据现行《给水排水管道工程施工及验收规范》（GB 50268-2008）的有关规定并结合实际情况确定，沟槽开挖边坡系数</w:t>
      </w:r>
      <w:r>
        <w:rPr>
          <w:rFonts w:hint="eastAsia" w:ascii="宋体" w:hAnsi="宋体" w:eastAsia="宋体" w:cs="宋体"/>
          <w:snapToGrid w:val="0"/>
          <w:color w:val="auto"/>
          <w:kern w:val="0"/>
          <w:sz w:val="24"/>
          <w:szCs w:val="24"/>
          <w:lang w:val="en-US" w:eastAsia="zh-CN"/>
        </w:rPr>
        <w:t>m</w:t>
      </w:r>
      <w:r>
        <w:rPr>
          <w:rFonts w:hint="eastAsia" w:ascii="宋体" w:hAnsi="宋体" w:eastAsia="宋体" w:cs="宋体"/>
          <w:snapToGrid w:val="0"/>
          <w:color w:val="auto"/>
          <w:kern w:val="0"/>
          <w:sz w:val="24"/>
          <w:szCs w:val="24"/>
        </w:rPr>
        <w:t>值根据地质情况确定，取值见《给水排水管道工程施工及验收规范》（GB 50268-2008）的有关规定执行，如果采用直壁开挖必须进行有效支护以确保施工安全。严格按设计控制开挖高程，不得超挖和欠挖，挖至设计高程尚差200mm时，采用人工开挖至设计高程。管槽开挖如遇素填土、杂填土、泥炭土应全部清除，换填砾卵石并分层夯实至设计管底标高下100-150mm，要求压实度不小于95%。管道沿线有地下水时，应进行施工降水，地下水位应降至槽底最低点0.5m以下，以保证干槽施工。沟槽的开挖和管线敷设与回填应一致，开槽后应组织相关单位验槽，合格后尽快进行下一道工序的施工，开槽距离和亮槽时间应尽量短。</w:t>
      </w:r>
    </w:p>
    <w:p w14:paraId="68247D9E">
      <w:pPr>
        <w:spacing w:line="360" w:lineRule="auto"/>
        <w:ind w:firstLine="480" w:firstLineChars="200"/>
        <w:jc w:val="left"/>
        <w:rPr>
          <w:rFonts w:hint="eastAsia" w:ascii="宋体" w:hAnsi="宋体" w:eastAsia="宋体" w:cs="宋体"/>
          <w:snapToGrid w:val="0"/>
          <w:color w:val="auto"/>
          <w:kern w:val="0"/>
          <w:sz w:val="24"/>
          <w:szCs w:val="24"/>
        </w:rPr>
      </w:pPr>
      <w:r>
        <w:rPr>
          <w:rFonts w:hint="eastAsia" w:ascii="宋体" w:hAnsi="宋体" w:cs="宋体"/>
          <w:snapToGrid w:val="0"/>
          <w:color w:val="auto"/>
          <w:kern w:val="0"/>
          <w:sz w:val="24"/>
          <w:szCs w:val="24"/>
          <w:lang w:val="en-US" w:eastAsia="zh-CN"/>
        </w:rPr>
        <w:t>2、</w:t>
      </w:r>
      <w:r>
        <w:rPr>
          <w:rFonts w:hint="eastAsia" w:ascii="宋体" w:hAnsi="宋体" w:eastAsia="宋体" w:cs="宋体"/>
          <w:snapToGrid w:val="0"/>
          <w:color w:val="auto"/>
          <w:kern w:val="0"/>
          <w:sz w:val="24"/>
          <w:szCs w:val="24"/>
        </w:rPr>
        <w:t>沟槽回填：管基达到设计强度及闭水试验合格后应及时进行沟槽回填，以确保工程质量；应特别重视管道工程的沟槽回填质量，应加强施工组织设计和选用适当回填机具设备；采取各种有效技术措施，加强检测手段，设专人负责沟槽回填工作的自监和检查；沟槽回填土须分层（每层厚度小于或等于0.2m)夯实，管道两则要同时进行，均匀上升，不得一边超载而另一边空载。沟槽回填按《管道沟槽开挖及回填图》的要求执行，详见图“管道沟槽开挖及回填图”。</w:t>
      </w:r>
    </w:p>
    <w:p w14:paraId="2E20A2F8">
      <w:pPr>
        <w:pStyle w:val="3"/>
        <w:numPr>
          <w:ilvl w:val="0"/>
          <w:numId w:val="0"/>
        </w:numPr>
        <w:spacing w:before="0" w:after="0" w:line="360" w:lineRule="auto"/>
        <w:ind w:left="482" w:leftChars="0"/>
        <w:jc w:val="left"/>
        <w:rPr>
          <w:rFonts w:hint="eastAsia" w:ascii="宋体" w:hAnsi="宋体" w:eastAsia="宋体" w:cs="宋体"/>
          <w:color w:val="auto"/>
          <w:sz w:val="24"/>
          <w:szCs w:val="24"/>
        </w:rPr>
      </w:pP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四</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管道敷设</w:t>
      </w:r>
    </w:p>
    <w:p w14:paraId="53422FB7">
      <w:pPr>
        <w:spacing w:line="360" w:lineRule="auto"/>
        <w:ind w:firstLine="480" w:firstLineChars="200"/>
        <w:jc w:val="left"/>
        <w:rPr>
          <w:rFonts w:hint="eastAsia" w:ascii="宋体" w:hAnsi="宋体" w:eastAsia="宋体" w:cs="宋体"/>
          <w:snapToGrid w:val="0"/>
          <w:color w:val="auto"/>
          <w:kern w:val="0"/>
          <w:sz w:val="24"/>
          <w:szCs w:val="24"/>
        </w:rPr>
      </w:pPr>
      <w:r>
        <w:rPr>
          <w:rFonts w:hint="eastAsia" w:ascii="宋体" w:hAnsi="宋体" w:cs="宋体"/>
          <w:snapToGrid w:val="0"/>
          <w:color w:val="auto"/>
          <w:kern w:val="0"/>
          <w:sz w:val="24"/>
          <w:szCs w:val="24"/>
          <w:lang w:val="en-US" w:eastAsia="zh-CN"/>
        </w:rPr>
        <w:t>1、</w:t>
      </w:r>
      <w:r>
        <w:rPr>
          <w:rFonts w:hint="eastAsia" w:ascii="宋体" w:hAnsi="宋体" w:eastAsia="宋体" w:cs="宋体"/>
          <w:snapToGrid w:val="0"/>
          <w:color w:val="auto"/>
          <w:kern w:val="0"/>
          <w:sz w:val="24"/>
          <w:szCs w:val="24"/>
        </w:rPr>
        <w:t>重力流主管</w:t>
      </w:r>
      <w:r>
        <w:rPr>
          <w:rFonts w:hint="eastAsia" w:ascii="宋体" w:hAnsi="宋体" w:eastAsia="宋体" w:cs="宋体"/>
          <w:snapToGrid w:val="0"/>
          <w:color w:val="auto"/>
          <w:kern w:val="0"/>
          <w:sz w:val="24"/>
          <w:szCs w:val="24"/>
          <w:lang w:val="en-US" w:eastAsia="zh-CN"/>
        </w:rPr>
        <w:t>不淤流速不小于0.6m/s</w:t>
      </w:r>
      <w:r>
        <w:rPr>
          <w:rFonts w:hint="eastAsia" w:ascii="宋体" w:hAnsi="宋体" w:eastAsia="宋体" w:cs="宋体"/>
          <w:snapToGrid w:val="0"/>
          <w:color w:val="auto"/>
          <w:kern w:val="0"/>
          <w:sz w:val="24"/>
          <w:szCs w:val="24"/>
        </w:rPr>
        <w:t>。</w:t>
      </w:r>
    </w:p>
    <w:p w14:paraId="2CA56787">
      <w:pPr>
        <w:spacing w:line="360" w:lineRule="auto"/>
        <w:ind w:firstLine="480" w:firstLineChars="200"/>
        <w:jc w:val="left"/>
        <w:rPr>
          <w:rFonts w:hint="eastAsia" w:ascii="宋体" w:hAnsi="宋体" w:eastAsia="宋体" w:cs="宋体"/>
          <w:snapToGrid w:val="0"/>
          <w:color w:val="auto"/>
          <w:kern w:val="0"/>
          <w:sz w:val="24"/>
          <w:szCs w:val="24"/>
        </w:rPr>
      </w:pPr>
      <w:r>
        <w:rPr>
          <w:rFonts w:hint="eastAsia" w:ascii="宋体" w:hAnsi="宋体" w:cs="宋体"/>
          <w:snapToGrid w:val="0"/>
          <w:color w:val="auto"/>
          <w:kern w:val="0"/>
          <w:sz w:val="24"/>
          <w:szCs w:val="24"/>
          <w:lang w:val="en-US" w:eastAsia="zh-CN"/>
        </w:rPr>
        <w:t>2、</w:t>
      </w:r>
      <w:r>
        <w:rPr>
          <w:rFonts w:hint="eastAsia" w:ascii="宋体" w:hAnsi="宋体" w:eastAsia="宋体" w:cs="宋体"/>
          <w:snapToGrid w:val="0"/>
          <w:color w:val="auto"/>
          <w:kern w:val="0"/>
          <w:sz w:val="24"/>
          <w:szCs w:val="24"/>
        </w:rPr>
        <w:t>排水管道应在沟槽地基、管基质量检验合格后安装，安装时宜自下游开始，承口应朝向施工前进的方向。</w:t>
      </w:r>
    </w:p>
    <w:p w14:paraId="4FBBA7F6">
      <w:pPr>
        <w:spacing w:line="360" w:lineRule="auto"/>
        <w:ind w:firstLine="480" w:firstLineChars="200"/>
        <w:jc w:val="left"/>
        <w:rPr>
          <w:rFonts w:hint="eastAsia" w:ascii="宋体" w:hAnsi="宋体" w:eastAsia="宋体" w:cs="宋体"/>
          <w:snapToGrid w:val="0"/>
          <w:color w:val="auto"/>
          <w:kern w:val="0"/>
          <w:sz w:val="24"/>
          <w:szCs w:val="24"/>
        </w:rPr>
      </w:pPr>
      <w:r>
        <w:rPr>
          <w:rFonts w:hint="eastAsia" w:ascii="宋体" w:hAnsi="宋体" w:cs="宋体"/>
          <w:snapToGrid w:val="0"/>
          <w:color w:val="auto"/>
          <w:kern w:val="0"/>
          <w:sz w:val="24"/>
          <w:szCs w:val="24"/>
          <w:lang w:val="en-US" w:eastAsia="zh-CN"/>
        </w:rPr>
        <w:t>3、</w:t>
      </w:r>
      <w:r>
        <w:rPr>
          <w:rFonts w:hint="eastAsia" w:ascii="宋体" w:hAnsi="宋体" w:eastAsia="宋体" w:cs="宋体"/>
          <w:snapToGrid w:val="0"/>
          <w:color w:val="auto"/>
          <w:kern w:val="0"/>
          <w:sz w:val="24"/>
          <w:szCs w:val="24"/>
        </w:rPr>
        <w:t>排水管道均应采用管顶平接，检查井的内径和构造要求应根据管径、埋深、管道的敷设、地面荷载、维护检修等因素按照国标图集</w:t>
      </w:r>
      <w:r>
        <w:rPr>
          <w:rFonts w:hint="eastAsia" w:ascii="宋体" w:hAnsi="宋体" w:cs="宋体"/>
          <w:snapToGrid w:val="0"/>
          <w:color w:val="auto"/>
          <w:kern w:val="0"/>
          <w:sz w:val="24"/>
          <w:szCs w:val="24"/>
          <w:lang w:eastAsia="zh-CN"/>
        </w:rPr>
        <w:t>（22S521）</w:t>
      </w:r>
      <w:r>
        <w:rPr>
          <w:rFonts w:hint="eastAsia" w:ascii="宋体" w:hAnsi="宋体" w:eastAsia="宋体" w:cs="宋体"/>
          <w:snapToGrid w:val="0"/>
          <w:color w:val="auto"/>
          <w:kern w:val="0"/>
          <w:sz w:val="24"/>
          <w:szCs w:val="24"/>
        </w:rPr>
        <w:t>选用。</w:t>
      </w:r>
    </w:p>
    <w:p w14:paraId="1AA80651">
      <w:pPr>
        <w:spacing w:line="360" w:lineRule="auto"/>
        <w:ind w:firstLine="480" w:firstLineChars="200"/>
        <w:jc w:val="left"/>
        <w:rPr>
          <w:rFonts w:hint="eastAsia" w:ascii="宋体" w:hAnsi="宋体" w:eastAsia="宋体" w:cs="宋体"/>
          <w:color w:val="auto"/>
          <w:lang w:val="en-US" w:eastAsia="zh-CN"/>
        </w:rPr>
      </w:pPr>
      <w:r>
        <w:rPr>
          <w:rFonts w:hint="eastAsia" w:ascii="宋体" w:hAnsi="宋体" w:cs="宋体"/>
          <w:snapToGrid w:val="0"/>
          <w:color w:val="auto"/>
          <w:kern w:val="0"/>
          <w:sz w:val="24"/>
          <w:szCs w:val="24"/>
          <w:lang w:val="en-US" w:eastAsia="zh-CN"/>
        </w:rPr>
        <w:t>4、</w:t>
      </w:r>
      <w:r>
        <w:rPr>
          <w:rFonts w:hint="eastAsia" w:ascii="宋体" w:hAnsi="宋体" w:eastAsia="宋体" w:cs="宋体"/>
          <w:snapToGrid w:val="0"/>
          <w:color w:val="auto"/>
          <w:kern w:val="0"/>
          <w:sz w:val="24"/>
          <w:szCs w:val="24"/>
        </w:rPr>
        <w:t>管道在回填前应采用闭水法进行严密性试验，试验要求按照国标《给水排水管道工程施工及验收规范》（GB 50268-2008）的第10.3部分有关的条文执行。</w:t>
      </w:r>
    </w:p>
    <w:p w14:paraId="56F99F8C">
      <w:pPr>
        <w:pStyle w:val="3"/>
        <w:numPr>
          <w:ilvl w:val="0"/>
          <w:numId w:val="0"/>
        </w:numPr>
        <w:spacing w:before="0" w:after="0" w:line="360" w:lineRule="auto"/>
        <w:ind w:left="482" w:leftChars="0"/>
        <w:jc w:val="left"/>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（五）检查井</w:t>
      </w:r>
    </w:p>
    <w:p w14:paraId="3E3E4EAF">
      <w:pPr>
        <w:spacing w:line="360" w:lineRule="auto"/>
        <w:ind w:firstLine="480" w:firstLineChars="200"/>
        <w:jc w:val="left"/>
        <w:rPr>
          <w:rFonts w:hint="eastAsia" w:ascii="宋体" w:hAnsi="宋体" w:eastAsia="宋体" w:cs="宋体"/>
          <w:color w:val="auto"/>
        </w:rPr>
      </w:pPr>
      <w:r>
        <w:rPr>
          <w:rFonts w:hint="eastAsia" w:ascii="宋体" w:hAnsi="宋体" w:cs="宋体"/>
          <w:color w:val="auto"/>
          <w:sz w:val="24"/>
          <w:shd w:val="clear" w:color="auto" w:fill="FFFFFF"/>
          <w:lang w:val="en-US" w:eastAsia="zh-CN"/>
        </w:rPr>
        <w:t>1、</w:t>
      </w:r>
      <w:r>
        <w:rPr>
          <w:rFonts w:hint="eastAsia" w:ascii="宋体" w:hAnsi="宋体" w:eastAsia="宋体" w:cs="宋体"/>
          <w:color w:val="auto"/>
          <w:sz w:val="24"/>
          <w:shd w:val="clear" w:color="auto" w:fill="FFFFFF"/>
        </w:rPr>
        <w:t>所有检查井采用</w:t>
      </w:r>
      <w:r>
        <w:rPr>
          <w:rFonts w:hint="eastAsia" w:ascii="宋体" w:hAnsi="宋体" w:eastAsia="宋体" w:cs="宋体"/>
          <w:color w:val="auto"/>
          <w:sz w:val="24"/>
          <w:shd w:val="clear" w:color="auto" w:fill="FFFFFF"/>
          <w:lang w:val="en-US" w:eastAsia="zh-CN"/>
        </w:rPr>
        <w:t>预制钢筋混凝土</w:t>
      </w:r>
      <w:r>
        <w:rPr>
          <w:rFonts w:hint="eastAsia" w:ascii="宋体" w:hAnsi="宋体" w:eastAsia="宋体" w:cs="宋体"/>
          <w:color w:val="auto"/>
          <w:sz w:val="24"/>
          <w:shd w:val="clear" w:color="auto" w:fill="FFFFFF"/>
        </w:rPr>
        <w:t>检查井，位于道路车行道下的检查井井周需加固处理，井周80cm范围内采用二灰砂粒（或二灰碎石）加强，从井底至井顶。</w:t>
      </w:r>
    </w:p>
    <w:p w14:paraId="69E68306">
      <w:pPr>
        <w:spacing w:line="360" w:lineRule="auto"/>
        <w:ind w:firstLine="480" w:firstLineChars="200"/>
        <w:jc w:val="left"/>
        <w:rPr>
          <w:rFonts w:hint="eastAsia" w:ascii="宋体" w:hAnsi="宋体" w:eastAsia="宋体" w:cs="宋体"/>
          <w:snapToGrid w:val="0"/>
          <w:color w:val="auto"/>
          <w:kern w:val="0"/>
          <w:sz w:val="24"/>
          <w:szCs w:val="24"/>
        </w:rPr>
      </w:pPr>
      <w:r>
        <w:rPr>
          <w:rFonts w:hint="eastAsia" w:ascii="宋体" w:hAnsi="宋体" w:cs="宋体"/>
          <w:snapToGrid w:val="0"/>
          <w:color w:val="auto"/>
          <w:kern w:val="0"/>
          <w:sz w:val="24"/>
          <w:szCs w:val="24"/>
          <w:lang w:val="en-US" w:eastAsia="zh-CN"/>
        </w:rPr>
        <w:t>2、</w:t>
      </w:r>
      <w:r>
        <w:rPr>
          <w:rFonts w:hint="eastAsia" w:ascii="宋体" w:hAnsi="宋体" w:eastAsia="宋体" w:cs="宋体"/>
          <w:snapToGrid w:val="0"/>
          <w:color w:val="auto"/>
          <w:kern w:val="0"/>
          <w:sz w:val="24"/>
          <w:szCs w:val="24"/>
        </w:rPr>
        <w:t>检查井</w:t>
      </w:r>
      <w:r>
        <w:rPr>
          <w:rFonts w:hint="eastAsia" w:ascii="宋体" w:hAnsi="宋体" w:eastAsia="宋体" w:cs="宋体"/>
          <w:snapToGrid w:val="0"/>
          <w:color w:val="auto"/>
          <w:kern w:val="0"/>
          <w:sz w:val="24"/>
          <w:szCs w:val="24"/>
          <w:lang w:val="en-US" w:eastAsia="zh-CN"/>
        </w:rPr>
        <w:t>盖采用</w:t>
      </w:r>
      <w:r>
        <w:rPr>
          <w:rFonts w:hint="eastAsia" w:ascii="宋体" w:hAnsi="宋体" w:cs="宋体"/>
          <w:snapToGrid w:val="0"/>
          <w:color w:val="auto"/>
          <w:kern w:val="0"/>
          <w:sz w:val="24"/>
          <w:szCs w:val="24"/>
          <w:lang w:val="en-US" w:eastAsia="zh-CN"/>
        </w:rPr>
        <w:t>D400</w:t>
      </w:r>
      <w:r>
        <w:rPr>
          <w:rFonts w:hint="eastAsia" w:ascii="宋体" w:hAnsi="宋体" w:eastAsia="宋体" w:cs="宋体"/>
          <w:snapToGrid w:val="0"/>
          <w:color w:val="auto"/>
          <w:kern w:val="0"/>
          <w:sz w:val="24"/>
          <w:szCs w:val="24"/>
          <w:lang w:val="en-US" w:eastAsia="zh-CN"/>
        </w:rPr>
        <w:t>球墨铸铁井盖</w:t>
      </w:r>
      <w:r>
        <w:rPr>
          <w:rFonts w:hint="eastAsia" w:ascii="宋体" w:hAnsi="宋体" w:eastAsia="宋体" w:cs="宋体"/>
          <w:snapToGrid w:val="0"/>
          <w:color w:val="auto"/>
          <w:kern w:val="0"/>
          <w:sz w:val="24"/>
          <w:szCs w:val="24"/>
        </w:rPr>
        <w:t>。</w:t>
      </w:r>
      <w:r>
        <w:rPr>
          <w:rFonts w:hint="eastAsia" w:ascii="宋体" w:hAnsi="宋体" w:eastAsia="宋体" w:cs="宋体"/>
          <w:snapToGrid w:val="0"/>
          <w:color w:val="auto"/>
          <w:kern w:val="0"/>
          <w:sz w:val="24"/>
          <w:szCs w:val="24"/>
          <w:lang w:val="en-US" w:eastAsia="zh-CN"/>
        </w:rPr>
        <w:t>位于农田</w:t>
      </w:r>
      <w:r>
        <w:rPr>
          <w:rFonts w:hint="eastAsia" w:ascii="宋体" w:hAnsi="宋体" w:eastAsia="宋体" w:cs="宋体"/>
          <w:color w:val="auto"/>
          <w:sz w:val="24"/>
          <w:shd w:val="clear" w:color="auto" w:fill="FFFFFF"/>
          <w:lang w:val="en-US" w:eastAsia="zh-CN"/>
        </w:rPr>
        <w:t>中的检查井，井盖面不低于田埂高度；位于绿化带中的检查井，井盖面高于绿化带地表15cm；车行道</w:t>
      </w:r>
      <w:r>
        <w:rPr>
          <w:rFonts w:hint="eastAsia" w:ascii="宋体" w:hAnsi="宋体" w:eastAsia="宋体" w:cs="宋体"/>
          <w:snapToGrid w:val="0"/>
          <w:color w:val="auto"/>
          <w:kern w:val="0"/>
          <w:sz w:val="24"/>
          <w:szCs w:val="24"/>
        </w:rPr>
        <w:t>所选井盖、井座应符合国家标准《检查井盖》（GB/T 23858-2009）和《铸铁检查井盖》（CJ/T 511-2017）的要求，检查井井盖、盖座安装要求与路面平整。</w:t>
      </w:r>
    </w:p>
    <w:p w14:paraId="03F5F981">
      <w:pPr>
        <w:spacing w:line="360" w:lineRule="auto"/>
        <w:ind w:firstLine="480" w:firstLineChars="200"/>
        <w:jc w:val="left"/>
        <w:rPr>
          <w:rFonts w:hint="eastAsia" w:ascii="宋体" w:hAnsi="宋体" w:eastAsia="宋体" w:cs="宋体"/>
          <w:snapToGrid w:val="0"/>
          <w:color w:val="auto"/>
          <w:kern w:val="0"/>
          <w:sz w:val="24"/>
          <w:szCs w:val="24"/>
        </w:rPr>
      </w:pPr>
      <w:r>
        <w:rPr>
          <w:rFonts w:hint="eastAsia" w:ascii="宋体" w:hAnsi="宋体" w:cs="宋体"/>
          <w:snapToGrid w:val="0"/>
          <w:color w:val="auto"/>
          <w:kern w:val="0"/>
          <w:sz w:val="24"/>
          <w:szCs w:val="24"/>
          <w:lang w:val="en-US" w:eastAsia="zh-CN"/>
        </w:rPr>
        <w:t>3、</w:t>
      </w:r>
      <w:r>
        <w:rPr>
          <w:rFonts w:hint="eastAsia" w:ascii="宋体" w:hAnsi="宋体" w:eastAsia="宋体" w:cs="宋体"/>
          <w:snapToGrid w:val="0"/>
          <w:color w:val="auto"/>
          <w:kern w:val="0"/>
          <w:sz w:val="24"/>
          <w:szCs w:val="24"/>
        </w:rPr>
        <w:t>所有检查井应安装防坠落网，要求其承载重量不小于</w:t>
      </w:r>
      <w:r>
        <w:rPr>
          <w:rFonts w:hint="eastAsia" w:ascii="宋体" w:hAnsi="宋体" w:eastAsia="宋体" w:cs="宋体"/>
          <w:snapToGrid w:val="0"/>
          <w:color w:val="auto"/>
          <w:kern w:val="0"/>
          <w:sz w:val="24"/>
          <w:szCs w:val="24"/>
          <w:lang w:val="en-US" w:eastAsia="zh-CN"/>
        </w:rPr>
        <w:t>120</w:t>
      </w:r>
      <w:r>
        <w:rPr>
          <w:rFonts w:hint="eastAsia" w:ascii="宋体" w:hAnsi="宋体" w:eastAsia="宋体" w:cs="宋体"/>
          <w:snapToGrid w:val="0"/>
          <w:color w:val="auto"/>
          <w:kern w:val="0"/>
          <w:sz w:val="24"/>
          <w:szCs w:val="24"/>
        </w:rPr>
        <w:t>KG。</w:t>
      </w:r>
    </w:p>
    <w:p w14:paraId="7D5C063A">
      <w:pPr>
        <w:pStyle w:val="3"/>
        <w:numPr>
          <w:ilvl w:val="0"/>
          <w:numId w:val="0"/>
        </w:numPr>
        <w:spacing w:before="0" w:after="0" w:line="360" w:lineRule="auto"/>
        <w:ind w:left="482" w:leftChars="0"/>
        <w:jc w:val="left"/>
        <w:rPr>
          <w:rFonts w:hint="eastAsia" w:ascii="宋体" w:hAnsi="宋体" w:eastAsia="宋体" w:cs="宋体"/>
          <w:color w:val="auto"/>
          <w:sz w:val="24"/>
          <w:szCs w:val="24"/>
        </w:rPr>
      </w:pP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六</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施工验收</w:t>
      </w:r>
    </w:p>
    <w:p w14:paraId="12C0EF84">
      <w:pPr>
        <w:spacing w:line="360" w:lineRule="auto"/>
        <w:ind w:firstLine="480" w:firstLineChars="200"/>
        <w:jc w:val="left"/>
        <w:rPr>
          <w:rFonts w:hint="eastAsia" w:ascii="宋体" w:hAnsi="宋体" w:eastAsia="宋体" w:cs="宋体"/>
          <w:snapToGrid w:val="0"/>
          <w:color w:val="auto"/>
          <w:kern w:val="0"/>
          <w:sz w:val="24"/>
          <w:szCs w:val="24"/>
        </w:rPr>
      </w:pPr>
      <w:r>
        <w:rPr>
          <w:rFonts w:hint="eastAsia" w:ascii="宋体" w:hAnsi="宋体" w:cs="宋体"/>
          <w:snapToGrid w:val="0"/>
          <w:color w:val="auto"/>
          <w:kern w:val="0"/>
          <w:sz w:val="24"/>
          <w:szCs w:val="24"/>
          <w:lang w:val="en-US" w:eastAsia="zh-CN"/>
        </w:rPr>
        <w:t>1、</w:t>
      </w:r>
      <w:r>
        <w:rPr>
          <w:rFonts w:hint="eastAsia" w:ascii="宋体" w:hAnsi="宋体" w:eastAsia="宋体" w:cs="宋体"/>
          <w:snapToGrid w:val="0"/>
          <w:color w:val="auto"/>
          <w:kern w:val="0"/>
          <w:sz w:val="24"/>
          <w:szCs w:val="24"/>
        </w:rPr>
        <w:t>按《给水排水管道工程施工及验收规范（GB 50268-2008）》作施工验收。</w:t>
      </w:r>
    </w:p>
    <w:p w14:paraId="19620E67">
      <w:pPr>
        <w:spacing w:line="360" w:lineRule="auto"/>
        <w:ind w:firstLine="480" w:firstLineChars="200"/>
        <w:jc w:val="left"/>
        <w:rPr>
          <w:rFonts w:hint="eastAsia" w:ascii="宋体" w:hAnsi="宋体" w:eastAsia="宋体" w:cs="宋体"/>
          <w:snapToGrid w:val="0"/>
          <w:color w:val="auto"/>
          <w:kern w:val="0"/>
          <w:sz w:val="24"/>
          <w:szCs w:val="24"/>
        </w:rPr>
      </w:pPr>
      <w:r>
        <w:rPr>
          <w:rFonts w:hint="eastAsia" w:ascii="宋体" w:hAnsi="宋体" w:cs="宋体"/>
          <w:snapToGrid w:val="0"/>
          <w:color w:val="auto"/>
          <w:kern w:val="0"/>
          <w:sz w:val="24"/>
          <w:szCs w:val="24"/>
          <w:lang w:val="en-US" w:eastAsia="zh-CN"/>
        </w:rPr>
        <w:t>2、</w:t>
      </w:r>
      <w:r>
        <w:rPr>
          <w:rFonts w:hint="eastAsia" w:ascii="宋体" w:hAnsi="宋体" w:eastAsia="宋体" w:cs="宋体"/>
          <w:snapToGrid w:val="0"/>
          <w:color w:val="auto"/>
          <w:kern w:val="0"/>
          <w:sz w:val="24"/>
          <w:szCs w:val="24"/>
        </w:rPr>
        <w:t>全部污水管</w:t>
      </w:r>
      <w:r>
        <w:rPr>
          <w:rFonts w:hint="eastAsia" w:ascii="宋体" w:hAnsi="宋体" w:eastAsia="宋体" w:cs="宋体"/>
          <w:snapToGrid w:val="0"/>
          <w:color w:val="auto"/>
          <w:kern w:val="0"/>
          <w:sz w:val="24"/>
          <w:szCs w:val="24"/>
          <w:lang w:val="en-US" w:eastAsia="zh-CN"/>
        </w:rPr>
        <w:t>渠</w:t>
      </w:r>
      <w:r>
        <w:rPr>
          <w:rFonts w:hint="eastAsia" w:ascii="宋体" w:hAnsi="宋体" w:eastAsia="宋体" w:cs="宋体"/>
          <w:snapToGrid w:val="0"/>
          <w:color w:val="auto"/>
          <w:kern w:val="0"/>
          <w:sz w:val="24"/>
          <w:szCs w:val="24"/>
        </w:rPr>
        <w:t>要求作闭水试验。</w:t>
      </w:r>
    </w:p>
    <w:p w14:paraId="24B5BC1C">
      <w:pPr>
        <w:pStyle w:val="3"/>
        <w:numPr>
          <w:ilvl w:val="0"/>
          <w:numId w:val="0"/>
        </w:numPr>
        <w:spacing w:before="0" w:after="0" w:line="360" w:lineRule="auto"/>
        <w:ind w:left="482" w:leftChars="0"/>
        <w:jc w:val="left"/>
        <w:rPr>
          <w:rFonts w:hint="eastAsia" w:ascii="宋体" w:hAnsi="宋体" w:eastAsia="宋体" w:cs="宋体"/>
          <w:color w:val="auto"/>
          <w:sz w:val="24"/>
          <w:szCs w:val="24"/>
        </w:rPr>
      </w:pP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七</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施工注意事项</w:t>
      </w:r>
    </w:p>
    <w:p w14:paraId="077A4A9D">
      <w:pPr>
        <w:spacing w:line="360" w:lineRule="auto"/>
        <w:ind w:firstLine="480" w:firstLineChars="200"/>
        <w:jc w:val="left"/>
        <w:rPr>
          <w:rFonts w:hint="eastAsia" w:ascii="宋体" w:hAnsi="宋体" w:eastAsia="宋体" w:cs="宋体"/>
          <w:snapToGrid w:val="0"/>
          <w:color w:val="auto"/>
          <w:kern w:val="0"/>
          <w:sz w:val="24"/>
          <w:szCs w:val="24"/>
        </w:rPr>
      </w:pPr>
      <w:r>
        <w:rPr>
          <w:rFonts w:hint="eastAsia" w:ascii="宋体" w:hAnsi="宋体" w:cs="宋体"/>
          <w:snapToGrid w:val="0"/>
          <w:color w:val="auto"/>
          <w:kern w:val="0"/>
          <w:sz w:val="24"/>
          <w:szCs w:val="24"/>
          <w:lang w:val="en-US" w:eastAsia="zh-CN"/>
        </w:rPr>
        <w:t>1、</w:t>
      </w:r>
      <w:r>
        <w:rPr>
          <w:rFonts w:hint="eastAsia" w:ascii="宋体" w:hAnsi="宋体" w:eastAsia="宋体" w:cs="宋体"/>
          <w:snapToGrid w:val="0"/>
          <w:color w:val="auto"/>
          <w:kern w:val="0"/>
          <w:sz w:val="24"/>
          <w:szCs w:val="24"/>
        </w:rPr>
        <w:t>本工程属于市政基础设施工程，建议需由符合国家要求的具有管道施工经验的施工单位承担。</w:t>
      </w:r>
    </w:p>
    <w:p w14:paraId="4AA6EE6F">
      <w:pPr>
        <w:spacing w:line="360" w:lineRule="auto"/>
        <w:ind w:firstLine="480" w:firstLineChars="200"/>
        <w:jc w:val="left"/>
        <w:rPr>
          <w:rFonts w:hint="eastAsia" w:ascii="宋体" w:hAnsi="宋体" w:eastAsia="宋体" w:cs="宋体"/>
          <w:snapToGrid w:val="0"/>
          <w:color w:val="auto"/>
          <w:kern w:val="0"/>
          <w:sz w:val="24"/>
          <w:szCs w:val="24"/>
        </w:rPr>
      </w:pPr>
      <w:r>
        <w:rPr>
          <w:rFonts w:hint="eastAsia" w:ascii="宋体" w:hAnsi="宋体" w:cs="宋体"/>
          <w:snapToGrid w:val="0"/>
          <w:color w:val="auto"/>
          <w:kern w:val="0"/>
          <w:sz w:val="24"/>
          <w:szCs w:val="24"/>
          <w:lang w:val="en-US" w:eastAsia="zh-CN"/>
        </w:rPr>
        <w:t>2、</w:t>
      </w:r>
      <w:r>
        <w:rPr>
          <w:rFonts w:hint="eastAsia" w:ascii="宋体" w:hAnsi="宋体" w:eastAsia="宋体" w:cs="宋体"/>
          <w:snapToGrid w:val="0"/>
          <w:color w:val="auto"/>
          <w:kern w:val="0"/>
          <w:sz w:val="24"/>
          <w:szCs w:val="24"/>
        </w:rPr>
        <w:t>在认真熟悉设计图纸的基础上，做好整个工程的施工组织设计，宜安排在非雨季节施工。</w:t>
      </w:r>
    </w:p>
    <w:p w14:paraId="7455E85D">
      <w:pPr>
        <w:spacing w:line="360" w:lineRule="auto"/>
        <w:ind w:firstLine="480" w:firstLineChars="200"/>
        <w:jc w:val="left"/>
        <w:rPr>
          <w:rFonts w:hint="eastAsia" w:ascii="宋体" w:hAnsi="宋体" w:eastAsia="宋体" w:cs="宋体"/>
          <w:snapToGrid w:val="0"/>
          <w:color w:val="auto"/>
          <w:kern w:val="0"/>
          <w:sz w:val="24"/>
          <w:szCs w:val="24"/>
        </w:rPr>
      </w:pPr>
      <w:r>
        <w:rPr>
          <w:rFonts w:hint="eastAsia" w:ascii="宋体" w:hAnsi="宋体" w:cs="宋体"/>
          <w:snapToGrid w:val="0"/>
          <w:color w:val="auto"/>
          <w:kern w:val="0"/>
          <w:sz w:val="24"/>
          <w:szCs w:val="24"/>
          <w:lang w:val="en-US" w:eastAsia="zh-CN"/>
        </w:rPr>
        <w:t>3、</w:t>
      </w:r>
      <w:r>
        <w:rPr>
          <w:rFonts w:hint="eastAsia" w:ascii="宋体" w:hAnsi="宋体" w:eastAsia="宋体" w:cs="宋体"/>
          <w:snapToGrid w:val="0"/>
          <w:color w:val="auto"/>
          <w:kern w:val="0"/>
          <w:sz w:val="24"/>
          <w:szCs w:val="24"/>
        </w:rPr>
        <w:t>施工单位应根据建设单位提供的施工界域内地下管线等构建筑物资料、工程地质、水文地质和河道水文资料，组织有关施工技术管理人员深入沿线调查，掌握现场实际情况，做好施工准备工作。</w:t>
      </w:r>
    </w:p>
    <w:p w14:paraId="075D92C5">
      <w:pPr>
        <w:spacing w:line="360" w:lineRule="auto"/>
        <w:ind w:firstLine="480" w:firstLineChars="200"/>
        <w:jc w:val="left"/>
        <w:rPr>
          <w:rFonts w:hint="eastAsia" w:ascii="宋体" w:hAnsi="宋体" w:eastAsia="宋体" w:cs="宋体"/>
          <w:snapToGrid w:val="0"/>
          <w:color w:val="auto"/>
          <w:kern w:val="0"/>
          <w:sz w:val="24"/>
          <w:szCs w:val="24"/>
        </w:rPr>
      </w:pPr>
      <w:r>
        <w:rPr>
          <w:rFonts w:hint="eastAsia" w:ascii="宋体" w:hAnsi="宋体" w:cs="宋体"/>
          <w:snapToGrid w:val="0"/>
          <w:color w:val="auto"/>
          <w:kern w:val="0"/>
          <w:sz w:val="24"/>
          <w:szCs w:val="24"/>
          <w:lang w:val="en-US" w:eastAsia="zh-CN"/>
        </w:rPr>
        <w:t>4、</w:t>
      </w:r>
      <w:r>
        <w:rPr>
          <w:rFonts w:hint="eastAsia" w:ascii="宋体" w:hAnsi="宋体" w:eastAsia="宋体" w:cs="宋体"/>
          <w:snapToGrid w:val="0"/>
          <w:color w:val="auto"/>
          <w:kern w:val="0"/>
          <w:sz w:val="24"/>
          <w:szCs w:val="24"/>
        </w:rPr>
        <w:t>施工前应严格按照《给水排水管道工程施工及验收规范（GB 50268-2008）》作施工准备，施工前，必须调查核实道路、排水管、管道接口、河道及其它管线等相关构筑物位置、高程等基本资料，若存在矛盾或其它实施障碍，应在正式开工前提出并解决。若在施工期间出现因前期调查不清而未提前解决的实施障碍，由施工方负责解决方案，并经设计人员审核。</w:t>
      </w:r>
    </w:p>
    <w:p w14:paraId="3E923F7B">
      <w:pPr>
        <w:spacing w:line="360" w:lineRule="auto"/>
        <w:ind w:firstLine="480" w:firstLineChars="200"/>
        <w:jc w:val="left"/>
        <w:rPr>
          <w:rFonts w:hint="eastAsia" w:ascii="宋体" w:hAnsi="宋体" w:eastAsia="宋体" w:cs="宋体"/>
          <w:snapToGrid w:val="0"/>
          <w:color w:val="auto"/>
          <w:kern w:val="0"/>
          <w:sz w:val="24"/>
          <w:szCs w:val="24"/>
        </w:rPr>
      </w:pPr>
      <w:r>
        <w:rPr>
          <w:rFonts w:hint="eastAsia" w:ascii="宋体" w:hAnsi="宋体" w:cs="宋体"/>
          <w:snapToGrid w:val="0"/>
          <w:color w:val="auto"/>
          <w:kern w:val="0"/>
          <w:sz w:val="24"/>
          <w:szCs w:val="24"/>
          <w:lang w:val="en-US" w:eastAsia="zh-CN"/>
        </w:rPr>
        <w:t>5、</w:t>
      </w:r>
      <w:r>
        <w:rPr>
          <w:rFonts w:hint="eastAsia" w:ascii="宋体" w:hAnsi="宋体" w:eastAsia="宋体" w:cs="宋体"/>
          <w:snapToGrid w:val="0"/>
          <w:color w:val="auto"/>
          <w:kern w:val="0"/>
          <w:sz w:val="24"/>
          <w:szCs w:val="24"/>
        </w:rPr>
        <w:t>施工中应严格执行国家现行各有关施工及验收规范，构筑物执行《给水排水构筑物工程施工及验收规范》（GB 50141-2008），管道施工执行《给水排水管道工程施工及验收规范》（GB 50268-2008）。</w:t>
      </w:r>
    </w:p>
    <w:p w14:paraId="56053054">
      <w:pPr>
        <w:spacing w:line="360" w:lineRule="auto"/>
        <w:ind w:firstLine="480" w:firstLineChars="200"/>
        <w:jc w:val="left"/>
        <w:rPr>
          <w:rFonts w:hint="eastAsia" w:ascii="宋体" w:hAnsi="宋体" w:eastAsia="宋体" w:cs="宋体"/>
          <w:snapToGrid w:val="0"/>
          <w:color w:val="auto"/>
          <w:kern w:val="0"/>
          <w:sz w:val="24"/>
          <w:szCs w:val="24"/>
        </w:rPr>
      </w:pPr>
      <w:r>
        <w:rPr>
          <w:rFonts w:hint="eastAsia" w:ascii="宋体" w:hAnsi="宋体" w:cs="宋体"/>
          <w:snapToGrid w:val="0"/>
          <w:color w:val="auto"/>
          <w:kern w:val="0"/>
          <w:sz w:val="24"/>
          <w:szCs w:val="24"/>
          <w:lang w:val="en-US" w:eastAsia="zh-CN"/>
        </w:rPr>
        <w:t>6、</w:t>
      </w:r>
      <w:r>
        <w:rPr>
          <w:rFonts w:hint="eastAsia" w:ascii="宋体" w:hAnsi="宋体" w:eastAsia="宋体" w:cs="宋体"/>
          <w:snapToGrid w:val="0"/>
          <w:color w:val="auto"/>
          <w:kern w:val="0"/>
          <w:sz w:val="24"/>
          <w:szCs w:val="24"/>
        </w:rPr>
        <w:t>施工中建设单位、监理单位、地勘单位、质量监督部门和施工单位应共同做好各个阶段的施工验收工作，特别是隐蔽工程的施工记录和验收工作（应严格按照《给水排水构筑物工程施工及验收规范》9.3节执行），必要时通知设计单位参加验收。</w:t>
      </w:r>
    </w:p>
    <w:p w14:paraId="06F59C58">
      <w:pPr>
        <w:spacing w:line="360" w:lineRule="auto"/>
        <w:ind w:firstLine="480" w:firstLineChars="200"/>
        <w:jc w:val="left"/>
        <w:rPr>
          <w:rFonts w:hint="eastAsia" w:ascii="宋体" w:hAnsi="宋体" w:eastAsia="宋体" w:cs="宋体"/>
          <w:snapToGrid w:val="0"/>
          <w:color w:val="auto"/>
          <w:kern w:val="0"/>
          <w:sz w:val="24"/>
          <w:szCs w:val="24"/>
        </w:rPr>
      </w:pPr>
      <w:r>
        <w:rPr>
          <w:rFonts w:hint="eastAsia" w:ascii="宋体" w:hAnsi="宋体" w:cs="宋体"/>
          <w:snapToGrid w:val="0"/>
          <w:color w:val="auto"/>
          <w:kern w:val="0"/>
          <w:sz w:val="24"/>
          <w:szCs w:val="24"/>
          <w:lang w:val="en-US" w:eastAsia="zh-CN"/>
        </w:rPr>
        <w:t>7、</w:t>
      </w:r>
      <w:r>
        <w:rPr>
          <w:rFonts w:hint="eastAsia" w:ascii="宋体" w:hAnsi="宋体" w:eastAsia="宋体" w:cs="宋体"/>
          <w:snapToGrid w:val="0"/>
          <w:color w:val="auto"/>
          <w:kern w:val="0"/>
          <w:sz w:val="24"/>
          <w:szCs w:val="24"/>
        </w:rPr>
        <w:t>沟漕开挖中，应对适宜回填的土方分别堆放并采取保护措施，尽可能避免或减少借土回填。</w:t>
      </w:r>
    </w:p>
    <w:p w14:paraId="23E4EAF2">
      <w:pPr>
        <w:spacing w:line="360" w:lineRule="auto"/>
        <w:ind w:firstLine="480" w:firstLineChars="200"/>
        <w:jc w:val="left"/>
        <w:rPr>
          <w:rFonts w:hint="eastAsia" w:ascii="宋体" w:hAnsi="宋体" w:eastAsia="宋体" w:cs="宋体"/>
          <w:snapToGrid w:val="0"/>
          <w:color w:val="auto"/>
          <w:kern w:val="0"/>
          <w:sz w:val="24"/>
          <w:szCs w:val="24"/>
        </w:rPr>
      </w:pPr>
      <w:r>
        <w:rPr>
          <w:rFonts w:hint="eastAsia" w:ascii="宋体" w:hAnsi="宋体" w:cs="宋体"/>
          <w:snapToGrid w:val="0"/>
          <w:color w:val="auto"/>
          <w:kern w:val="0"/>
          <w:sz w:val="24"/>
          <w:szCs w:val="24"/>
          <w:lang w:val="en-US" w:eastAsia="zh-CN"/>
        </w:rPr>
        <w:t>8、</w:t>
      </w:r>
      <w:r>
        <w:rPr>
          <w:rFonts w:hint="eastAsia" w:ascii="宋体" w:hAnsi="宋体" w:eastAsia="宋体" w:cs="宋体"/>
          <w:snapToGrid w:val="0"/>
          <w:color w:val="auto"/>
          <w:kern w:val="0"/>
          <w:sz w:val="24"/>
          <w:szCs w:val="24"/>
        </w:rPr>
        <w:t>施工时应做好现有管线的保护工作，避免破坏其他管线，如损坏，应及时修复，具体修复工作量以现场发生为准。</w:t>
      </w:r>
    </w:p>
    <w:p w14:paraId="56F3D251">
      <w:pPr>
        <w:spacing w:line="360" w:lineRule="auto"/>
        <w:ind w:firstLine="480" w:firstLineChars="200"/>
        <w:jc w:val="left"/>
        <w:rPr>
          <w:rFonts w:hint="eastAsia" w:ascii="宋体" w:hAnsi="宋体" w:eastAsia="宋体" w:cs="宋体"/>
          <w:snapToGrid w:val="0"/>
          <w:color w:val="auto"/>
          <w:kern w:val="0"/>
          <w:sz w:val="24"/>
          <w:szCs w:val="24"/>
        </w:rPr>
      </w:pPr>
      <w:r>
        <w:rPr>
          <w:rFonts w:hint="eastAsia" w:ascii="宋体" w:hAnsi="宋体" w:cs="宋体"/>
          <w:snapToGrid w:val="0"/>
          <w:color w:val="auto"/>
          <w:kern w:val="0"/>
          <w:sz w:val="24"/>
          <w:szCs w:val="24"/>
          <w:lang w:val="en-US" w:eastAsia="zh-CN"/>
        </w:rPr>
        <w:t>9、</w:t>
      </w:r>
      <w:r>
        <w:rPr>
          <w:rFonts w:hint="eastAsia" w:ascii="宋体" w:hAnsi="宋体" w:eastAsia="宋体" w:cs="宋体"/>
          <w:snapToGrid w:val="0"/>
          <w:color w:val="auto"/>
          <w:kern w:val="0"/>
          <w:sz w:val="24"/>
          <w:szCs w:val="24"/>
        </w:rPr>
        <w:t>本说明未尽事宜，按《给水排水管道工程施工及验收规范（GB 50268-2008）》和国标图集</w:t>
      </w:r>
      <w:r>
        <w:rPr>
          <w:rFonts w:hint="eastAsia" w:ascii="宋体" w:hAnsi="宋体" w:eastAsia="宋体" w:cs="宋体"/>
          <w:snapToGrid w:val="0"/>
          <w:color w:val="auto"/>
          <w:kern w:val="0"/>
          <w:sz w:val="24"/>
          <w:szCs w:val="24"/>
          <w:lang w:val="en-US" w:eastAsia="zh-CN"/>
        </w:rPr>
        <w:t>20S515</w:t>
      </w:r>
      <w:r>
        <w:rPr>
          <w:rFonts w:hint="eastAsia" w:ascii="宋体" w:hAnsi="宋体" w:eastAsia="宋体" w:cs="宋体"/>
          <w:snapToGrid w:val="0"/>
          <w:color w:val="auto"/>
          <w:kern w:val="0"/>
          <w:sz w:val="24"/>
          <w:szCs w:val="24"/>
        </w:rPr>
        <w:t>执行。</w:t>
      </w:r>
    </w:p>
    <w:p w14:paraId="28BB5244">
      <w:pPr>
        <w:pStyle w:val="3"/>
        <w:numPr>
          <w:ilvl w:val="0"/>
          <w:numId w:val="2"/>
        </w:numPr>
        <w:spacing w:before="0" w:after="0" w:line="360" w:lineRule="auto"/>
        <w:ind w:firstLine="482"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一体化污水处理站设计</w:t>
      </w:r>
    </w:p>
    <w:p w14:paraId="513B3DBB">
      <w:pPr>
        <w:pStyle w:val="3"/>
        <w:numPr>
          <w:ilvl w:val="0"/>
          <w:numId w:val="0"/>
        </w:numPr>
        <w:spacing w:before="0" w:after="0" w:line="360" w:lineRule="auto"/>
        <w:ind w:left="482" w:leftChars="0"/>
        <w:jc w:val="left"/>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（一）工艺设计</w:t>
      </w:r>
    </w:p>
    <w:p w14:paraId="3E8727DC">
      <w:pPr>
        <w:spacing w:line="360" w:lineRule="auto"/>
        <w:ind w:firstLine="480" w:firstLineChars="200"/>
        <w:jc w:val="left"/>
        <w:rPr>
          <w:rFonts w:hint="eastAsia" w:ascii="宋体" w:hAnsi="宋体" w:eastAsia="宋体" w:cs="宋体"/>
          <w:snapToGrid w:val="0"/>
          <w:color w:val="auto"/>
          <w:kern w:val="0"/>
          <w:sz w:val="24"/>
          <w:szCs w:val="24"/>
          <w:highlight w:val="none"/>
          <w:lang w:val="en-US" w:eastAsia="zh-CN"/>
        </w:rPr>
      </w:pPr>
      <w:r>
        <w:rPr>
          <w:rFonts w:hint="eastAsia" w:ascii="宋体" w:hAnsi="宋体" w:eastAsia="宋体" w:cs="宋体"/>
          <w:snapToGrid w:val="0"/>
          <w:color w:val="auto"/>
          <w:kern w:val="0"/>
          <w:sz w:val="24"/>
          <w:szCs w:val="24"/>
          <w:highlight w:val="none"/>
          <w:lang w:val="en-US" w:eastAsia="zh-CN"/>
        </w:rPr>
        <w:t>1、设计规模</w:t>
      </w:r>
    </w:p>
    <w:p w14:paraId="495A16F0">
      <w:pPr>
        <w:spacing w:line="360" w:lineRule="auto"/>
        <w:ind w:firstLine="480" w:firstLineChars="200"/>
        <w:jc w:val="left"/>
        <w:rPr>
          <w:rFonts w:hint="eastAsia" w:ascii="宋体" w:hAnsi="宋体" w:eastAsia="宋体" w:cs="宋体"/>
          <w:snapToGrid w:val="0"/>
          <w:color w:val="auto"/>
          <w:kern w:val="0"/>
          <w:sz w:val="24"/>
          <w:szCs w:val="24"/>
          <w:highlight w:val="none"/>
          <w:lang w:val="en-US" w:eastAsia="zh-CN"/>
        </w:rPr>
      </w:pPr>
      <w:r>
        <w:rPr>
          <w:rFonts w:hint="eastAsia" w:ascii="宋体" w:hAnsi="宋体" w:eastAsia="宋体" w:cs="宋体"/>
          <w:snapToGrid w:val="0"/>
          <w:color w:val="auto"/>
          <w:kern w:val="0"/>
          <w:sz w:val="24"/>
          <w:szCs w:val="24"/>
          <w:highlight w:val="none"/>
          <w:lang w:val="en-US" w:eastAsia="zh-CN"/>
        </w:rPr>
        <w:t>本项目污水处理站设计处理规模</w:t>
      </w:r>
      <w:r>
        <w:rPr>
          <w:rFonts w:hint="eastAsia" w:ascii="宋体" w:hAnsi="宋体" w:cs="宋体"/>
          <w:snapToGrid w:val="0"/>
          <w:color w:val="auto"/>
          <w:kern w:val="0"/>
          <w:sz w:val="24"/>
          <w:szCs w:val="24"/>
          <w:highlight w:val="none"/>
          <w:lang w:val="en-US" w:eastAsia="zh-CN"/>
        </w:rPr>
        <w:t>为8</w:t>
      </w:r>
      <w:r>
        <w:rPr>
          <w:rFonts w:hint="eastAsia" w:ascii="宋体" w:hAnsi="宋体" w:eastAsia="宋体" w:cs="宋体"/>
          <w:snapToGrid w:val="0"/>
          <w:color w:val="auto"/>
          <w:kern w:val="0"/>
          <w:sz w:val="24"/>
          <w:szCs w:val="24"/>
          <w:highlight w:val="none"/>
          <w:lang w:val="en-US" w:eastAsia="zh-CN"/>
        </w:rPr>
        <w:t>0m3/d。</w:t>
      </w:r>
    </w:p>
    <w:p w14:paraId="567E6492">
      <w:pPr>
        <w:spacing w:line="360" w:lineRule="auto"/>
        <w:ind w:firstLine="480" w:firstLineChars="200"/>
        <w:jc w:val="left"/>
        <w:rPr>
          <w:rFonts w:hint="eastAsia" w:ascii="宋体" w:hAnsi="宋体" w:eastAsia="宋体" w:cs="宋体"/>
          <w:snapToGrid w:val="0"/>
          <w:color w:val="auto"/>
          <w:kern w:val="0"/>
          <w:sz w:val="24"/>
          <w:szCs w:val="24"/>
          <w:highlight w:val="none"/>
          <w:lang w:val="en-US" w:eastAsia="zh-CN"/>
        </w:rPr>
      </w:pPr>
      <w:r>
        <w:rPr>
          <w:rFonts w:hint="eastAsia" w:ascii="宋体" w:hAnsi="宋体" w:eastAsia="宋体" w:cs="宋体"/>
          <w:snapToGrid w:val="0"/>
          <w:color w:val="auto"/>
          <w:kern w:val="0"/>
          <w:sz w:val="24"/>
          <w:szCs w:val="24"/>
          <w:highlight w:val="none"/>
          <w:lang w:val="en-US" w:eastAsia="zh-CN"/>
        </w:rPr>
        <w:t>2、工艺流程</w:t>
      </w:r>
    </w:p>
    <w:p w14:paraId="6F61038A">
      <w:pPr>
        <w:spacing w:line="360" w:lineRule="auto"/>
        <w:ind w:firstLine="480" w:firstLineChars="200"/>
        <w:jc w:val="left"/>
        <w:rPr>
          <w:rFonts w:hint="eastAsia" w:ascii="宋体" w:hAnsi="宋体" w:eastAsia="宋体" w:cs="宋体"/>
          <w:snapToGrid w:val="0"/>
          <w:color w:val="auto"/>
          <w:kern w:val="0"/>
          <w:sz w:val="24"/>
          <w:szCs w:val="24"/>
          <w:highlight w:val="none"/>
          <w:lang w:val="en-US" w:eastAsia="zh-CN"/>
        </w:rPr>
      </w:pPr>
      <w:r>
        <w:rPr>
          <w:rFonts w:hint="eastAsia" w:ascii="宋体" w:hAnsi="宋体" w:eastAsia="宋体" w:cs="宋体"/>
          <w:snapToGrid w:val="0"/>
          <w:color w:val="auto"/>
          <w:kern w:val="0"/>
          <w:sz w:val="24"/>
          <w:szCs w:val="24"/>
          <w:highlight w:val="none"/>
          <w:lang w:val="en-US" w:eastAsia="zh-CN"/>
        </w:rPr>
        <w:t>本工程采用两微智能污水一体化处理设备，利用生长于填料表面的微生物同步达到去除COD，脱氮除磷的效果，出水水质达到广西壮族自治区《农村生活污水处理设施水污染物排放标准》（DB45_2413-2021）中的一级标准。</w:t>
      </w:r>
    </w:p>
    <w:p w14:paraId="523145D5">
      <w:pPr>
        <w:spacing w:line="360" w:lineRule="auto"/>
        <w:ind w:firstLine="480" w:firstLineChars="200"/>
        <w:jc w:val="left"/>
        <w:rPr>
          <w:rFonts w:hint="eastAsia" w:ascii="宋体" w:hAnsi="宋体" w:eastAsia="宋体" w:cs="宋体"/>
          <w:snapToGrid w:val="0"/>
          <w:color w:val="auto"/>
          <w:kern w:val="0"/>
          <w:sz w:val="24"/>
          <w:szCs w:val="24"/>
          <w:highlight w:val="none"/>
          <w:lang w:val="en-US" w:eastAsia="zh-CN"/>
        </w:rPr>
      </w:pPr>
      <w:r>
        <w:rPr>
          <w:rFonts w:hint="eastAsia" w:ascii="宋体" w:hAnsi="宋体" w:eastAsia="宋体" w:cs="宋体"/>
          <w:snapToGrid w:val="0"/>
          <w:color w:val="auto"/>
          <w:kern w:val="0"/>
          <w:sz w:val="24"/>
          <w:szCs w:val="24"/>
          <w:highlight w:val="none"/>
          <w:lang w:val="en-US" w:eastAsia="zh-CN"/>
        </w:rPr>
        <w:t>生活污水→格栅井→调节池→一体化设备→回用水池→达标排放。</w:t>
      </w:r>
    </w:p>
    <w:p w14:paraId="41643C6B">
      <w:pPr>
        <w:spacing w:line="360" w:lineRule="auto"/>
        <w:ind w:firstLine="480" w:firstLineChars="200"/>
        <w:jc w:val="left"/>
        <w:rPr>
          <w:rFonts w:hint="eastAsia" w:ascii="宋体" w:hAnsi="宋体" w:eastAsia="宋体" w:cs="宋体"/>
          <w:snapToGrid w:val="0"/>
          <w:color w:val="auto"/>
          <w:kern w:val="0"/>
          <w:sz w:val="24"/>
          <w:szCs w:val="24"/>
          <w:highlight w:val="none"/>
          <w:lang w:val="en-US" w:eastAsia="zh-CN"/>
        </w:rPr>
      </w:pPr>
      <w:r>
        <w:rPr>
          <w:rFonts w:hint="eastAsia" w:ascii="宋体" w:hAnsi="宋体" w:eastAsia="宋体" w:cs="宋体"/>
          <w:snapToGrid w:val="0"/>
          <w:color w:val="auto"/>
          <w:kern w:val="0"/>
          <w:sz w:val="24"/>
          <w:szCs w:val="24"/>
          <w:highlight w:val="none"/>
          <w:lang w:val="en-US" w:eastAsia="zh-CN"/>
        </w:rPr>
        <w:t>3、设计进出水水质</w:t>
      </w:r>
    </w:p>
    <w:p w14:paraId="2E94BA42">
      <w:pPr>
        <w:spacing w:line="360" w:lineRule="auto"/>
        <w:ind w:firstLine="480" w:firstLineChars="200"/>
        <w:jc w:val="left"/>
        <w:rPr>
          <w:rFonts w:hint="eastAsia" w:ascii="宋体" w:hAnsi="宋体" w:eastAsia="宋体" w:cs="宋体"/>
          <w:snapToGrid w:val="0"/>
          <w:color w:val="auto"/>
          <w:kern w:val="0"/>
          <w:sz w:val="24"/>
          <w:szCs w:val="24"/>
          <w:highlight w:val="none"/>
          <w:lang w:val="en-US" w:eastAsia="zh-CN"/>
        </w:rPr>
      </w:pPr>
      <w:r>
        <w:rPr>
          <w:rFonts w:hint="eastAsia" w:ascii="宋体" w:hAnsi="宋体" w:eastAsia="宋体" w:cs="宋体"/>
          <w:snapToGrid w:val="0"/>
          <w:color w:val="auto"/>
          <w:kern w:val="0"/>
          <w:sz w:val="24"/>
          <w:szCs w:val="24"/>
          <w:highlight w:val="none"/>
          <w:lang w:val="en-US" w:eastAsia="zh-CN"/>
        </w:rPr>
        <w:t>出水水质达到广西壮族自治区《农村生活污水处理设施水污染物排放标准》（DB45_2413-2021）中的一级标准。</w:t>
      </w:r>
    </w:p>
    <w:tbl>
      <w:tblPr>
        <w:tblStyle w:val="51"/>
        <w:tblW w:w="411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53"/>
        <w:gridCol w:w="1305"/>
        <w:gridCol w:w="1245"/>
        <w:gridCol w:w="1355"/>
        <w:gridCol w:w="1446"/>
        <w:gridCol w:w="1466"/>
      </w:tblGrid>
      <w:tr w14:paraId="4E5218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4" w:hRule="atLeast"/>
          <w:tblHeader/>
          <w:jc w:val="center"/>
        </w:trPr>
        <w:tc>
          <w:tcPr>
            <w:tcW w:w="928" w:type="pct"/>
            <w:noWrap w:val="0"/>
            <w:vAlign w:val="center"/>
          </w:tcPr>
          <w:p w14:paraId="24C91AD8">
            <w:pPr>
              <w:pStyle w:val="114"/>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指标</w:t>
            </w:r>
          </w:p>
        </w:tc>
        <w:tc>
          <w:tcPr>
            <w:tcW w:w="779" w:type="pct"/>
            <w:noWrap w:val="0"/>
            <w:vAlign w:val="center"/>
          </w:tcPr>
          <w:p w14:paraId="4F3F0327">
            <w:pPr>
              <w:pStyle w:val="114"/>
              <w:rPr>
                <w:rFonts w:hint="eastAsia" w:ascii="宋体" w:hAnsi="宋体" w:eastAsia="宋体" w:cs="宋体"/>
                <w:color w:val="auto"/>
                <w:sz w:val="24"/>
                <w:szCs w:val="24"/>
                <w:highlight w:val="none"/>
                <w:vertAlign w:val="subscript"/>
              </w:rPr>
            </w:pPr>
            <w:r>
              <w:rPr>
                <w:rFonts w:hint="eastAsia" w:ascii="宋体" w:hAnsi="宋体" w:eastAsia="宋体" w:cs="宋体"/>
                <w:color w:val="auto"/>
                <w:sz w:val="24"/>
                <w:szCs w:val="24"/>
                <w:highlight w:val="none"/>
              </w:rPr>
              <w:t>COD</w:t>
            </w:r>
            <w:r>
              <w:rPr>
                <w:rFonts w:hint="eastAsia" w:ascii="宋体" w:hAnsi="宋体" w:eastAsia="宋体" w:cs="宋体"/>
                <w:color w:val="auto"/>
                <w:sz w:val="24"/>
                <w:szCs w:val="24"/>
                <w:highlight w:val="none"/>
                <w:vertAlign w:val="subscript"/>
              </w:rPr>
              <w:t>cr</w:t>
            </w:r>
          </w:p>
          <w:p w14:paraId="21B331E1">
            <w:pPr>
              <w:pStyle w:val="114"/>
              <w:rPr>
                <w:rFonts w:hint="eastAsia" w:ascii="宋体" w:hAnsi="宋体" w:eastAsia="宋体" w:cs="宋体"/>
                <w:color w:val="auto"/>
                <w:sz w:val="24"/>
                <w:szCs w:val="24"/>
                <w:highlight w:val="none"/>
                <w:vertAlign w:val="subscript"/>
              </w:rPr>
            </w:pPr>
            <w:r>
              <w:rPr>
                <w:rFonts w:hint="eastAsia" w:ascii="宋体" w:hAnsi="宋体" w:eastAsia="宋体" w:cs="宋体"/>
                <w:color w:val="auto"/>
                <w:sz w:val="24"/>
                <w:szCs w:val="24"/>
                <w:highlight w:val="none"/>
              </w:rPr>
              <w:t>(mg/L)</w:t>
            </w:r>
          </w:p>
        </w:tc>
        <w:tc>
          <w:tcPr>
            <w:tcW w:w="743" w:type="pct"/>
            <w:noWrap w:val="0"/>
            <w:vAlign w:val="center"/>
          </w:tcPr>
          <w:p w14:paraId="65F50E2B">
            <w:pPr>
              <w:pStyle w:val="114"/>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SS</w:t>
            </w:r>
          </w:p>
          <w:p w14:paraId="7EC40BBA">
            <w:pPr>
              <w:pStyle w:val="114"/>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(mg/L)</w:t>
            </w:r>
          </w:p>
        </w:tc>
        <w:tc>
          <w:tcPr>
            <w:tcW w:w="809" w:type="pct"/>
            <w:noWrap w:val="0"/>
            <w:vAlign w:val="center"/>
          </w:tcPr>
          <w:p w14:paraId="5E28693C">
            <w:pPr>
              <w:pStyle w:val="114"/>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NH</w:t>
            </w:r>
            <w:r>
              <w:rPr>
                <w:rFonts w:hint="eastAsia" w:ascii="宋体" w:hAnsi="宋体" w:eastAsia="宋体" w:cs="宋体"/>
                <w:color w:val="auto"/>
                <w:sz w:val="24"/>
                <w:szCs w:val="24"/>
                <w:highlight w:val="none"/>
                <w:vertAlign w:val="subscript"/>
              </w:rPr>
              <w:t>3</w:t>
            </w:r>
            <w:r>
              <w:rPr>
                <w:rFonts w:hint="eastAsia" w:ascii="宋体" w:hAnsi="宋体" w:eastAsia="宋体" w:cs="宋体"/>
                <w:color w:val="auto"/>
                <w:sz w:val="24"/>
                <w:szCs w:val="24"/>
                <w:highlight w:val="none"/>
              </w:rPr>
              <w:t>-N</w:t>
            </w:r>
          </w:p>
          <w:p w14:paraId="34319FAF">
            <w:pPr>
              <w:pStyle w:val="114"/>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(mg/L)</w:t>
            </w:r>
          </w:p>
        </w:tc>
        <w:tc>
          <w:tcPr>
            <w:tcW w:w="863" w:type="pct"/>
            <w:noWrap w:val="0"/>
            <w:vAlign w:val="center"/>
          </w:tcPr>
          <w:p w14:paraId="4E87AD4E">
            <w:pPr>
              <w:pStyle w:val="114"/>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TN</w:t>
            </w:r>
          </w:p>
          <w:p w14:paraId="27DAD68E">
            <w:pPr>
              <w:pStyle w:val="114"/>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(mg/L)</w:t>
            </w:r>
          </w:p>
        </w:tc>
        <w:tc>
          <w:tcPr>
            <w:tcW w:w="875" w:type="pct"/>
            <w:noWrap w:val="0"/>
            <w:vAlign w:val="center"/>
          </w:tcPr>
          <w:p w14:paraId="58D297B3">
            <w:pPr>
              <w:pStyle w:val="114"/>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TP</w:t>
            </w:r>
          </w:p>
          <w:p w14:paraId="71763562">
            <w:pPr>
              <w:pStyle w:val="114"/>
              <w:ind w:firstLine="0" w:firstLineChars="0"/>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sz w:val="24"/>
                <w:szCs w:val="24"/>
                <w:highlight w:val="none"/>
              </w:rPr>
              <w:t>(mg/L)</w:t>
            </w:r>
          </w:p>
        </w:tc>
      </w:tr>
      <w:tr w14:paraId="2CB943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6" w:hRule="atLeast"/>
          <w:jc w:val="center"/>
        </w:trPr>
        <w:tc>
          <w:tcPr>
            <w:tcW w:w="928" w:type="pct"/>
            <w:noWrap w:val="0"/>
            <w:vAlign w:val="center"/>
          </w:tcPr>
          <w:p w14:paraId="1BC23608">
            <w:pPr>
              <w:pStyle w:val="114"/>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进水水质</w:t>
            </w:r>
          </w:p>
        </w:tc>
        <w:tc>
          <w:tcPr>
            <w:tcW w:w="779" w:type="pct"/>
            <w:noWrap w:val="0"/>
            <w:vAlign w:val="center"/>
          </w:tcPr>
          <w:p w14:paraId="1CBBC39B">
            <w:pPr>
              <w:pStyle w:val="114"/>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250</w:t>
            </w:r>
          </w:p>
        </w:tc>
        <w:tc>
          <w:tcPr>
            <w:tcW w:w="743" w:type="pct"/>
            <w:noWrap w:val="0"/>
            <w:vAlign w:val="center"/>
          </w:tcPr>
          <w:p w14:paraId="7C860E6A">
            <w:pPr>
              <w:pStyle w:val="114"/>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16</w:t>
            </w:r>
          </w:p>
        </w:tc>
        <w:tc>
          <w:tcPr>
            <w:tcW w:w="809" w:type="pct"/>
            <w:noWrap w:val="0"/>
            <w:vAlign w:val="center"/>
          </w:tcPr>
          <w:p w14:paraId="0107E9B6">
            <w:pPr>
              <w:pStyle w:val="114"/>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40</w:t>
            </w:r>
          </w:p>
        </w:tc>
        <w:tc>
          <w:tcPr>
            <w:tcW w:w="863" w:type="pct"/>
            <w:noWrap w:val="0"/>
            <w:vAlign w:val="center"/>
          </w:tcPr>
          <w:p w14:paraId="56088644">
            <w:pPr>
              <w:pStyle w:val="114"/>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45</w:t>
            </w:r>
          </w:p>
        </w:tc>
        <w:tc>
          <w:tcPr>
            <w:tcW w:w="875" w:type="pct"/>
            <w:noWrap w:val="0"/>
            <w:vAlign w:val="center"/>
          </w:tcPr>
          <w:p w14:paraId="26A9E973">
            <w:pPr>
              <w:pStyle w:val="114"/>
              <w:ind w:firstLine="0" w:firstLineChars="0"/>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sz w:val="24"/>
                <w:szCs w:val="24"/>
                <w:highlight w:val="none"/>
              </w:rPr>
              <w:t>4</w:t>
            </w:r>
          </w:p>
        </w:tc>
      </w:tr>
      <w:tr w14:paraId="688045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6" w:hRule="atLeast"/>
          <w:jc w:val="center"/>
        </w:trPr>
        <w:tc>
          <w:tcPr>
            <w:tcW w:w="928" w:type="pct"/>
            <w:noWrap w:val="0"/>
            <w:vAlign w:val="center"/>
          </w:tcPr>
          <w:p w14:paraId="4FC239C6">
            <w:pPr>
              <w:pStyle w:val="114"/>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出水水质</w:t>
            </w:r>
          </w:p>
        </w:tc>
        <w:tc>
          <w:tcPr>
            <w:tcW w:w="779" w:type="pct"/>
            <w:noWrap w:val="0"/>
            <w:vAlign w:val="center"/>
          </w:tcPr>
          <w:p w14:paraId="7787AAFE">
            <w:pPr>
              <w:pStyle w:val="114"/>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60</w:t>
            </w:r>
          </w:p>
        </w:tc>
        <w:tc>
          <w:tcPr>
            <w:tcW w:w="743" w:type="pct"/>
            <w:noWrap w:val="0"/>
            <w:vAlign w:val="center"/>
          </w:tcPr>
          <w:p w14:paraId="26706FD4">
            <w:pPr>
              <w:pStyle w:val="114"/>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20</w:t>
            </w:r>
          </w:p>
        </w:tc>
        <w:tc>
          <w:tcPr>
            <w:tcW w:w="809" w:type="pct"/>
            <w:noWrap w:val="0"/>
            <w:vAlign w:val="center"/>
          </w:tcPr>
          <w:p w14:paraId="43CE3444">
            <w:pPr>
              <w:pStyle w:val="114"/>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8（15）</w:t>
            </w:r>
          </w:p>
        </w:tc>
        <w:tc>
          <w:tcPr>
            <w:tcW w:w="863" w:type="pct"/>
            <w:noWrap w:val="0"/>
            <w:vAlign w:val="center"/>
          </w:tcPr>
          <w:p w14:paraId="0322890A">
            <w:pPr>
              <w:pStyle w:val="114"/>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20</w:t>
            </w:r>
          </w:p>
        </w:tc>
        <w:tc>
          <w:tcPr>
            <w:tcW w:w="875" w:type="pct"/>
            <w:noWrap w:val="0"/>
            <w:vAlign w:val="center"/>
          </w:tcPr>
          <w:p w14:paraId="283D6CBF">
            <w:pPr>
              <w:pStyle w:val="114"/>
              <w:ind w:firstLine="0" w:firstLineChars="0"/>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1.5</w:t>
            </w:r>
          </w:p>
        </w:tc>
      </w:tr>
    </w:tbl>
    <w:p w14:paraId="0AB1358B">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napToGrid w:val="0"/>
          <w:color w:val="auto"/>
          <w:kern w:val="0"/>
          <w:sz w:val="24"/>
          <w:szCs w:val="24"/>
          <w:highlight w:val="none"/>
          <w:lang w:val="en-US" w:eastAsia="zh-CN"/>
        </w:rPr>
      </w:pPr>
      <w:r>
        <w:rPr>
          <w:rFonts w:hint="eastAsia" w:ascii="宋体" w:hAnsi="宋体" w:eastAsia="宋体" w:cs="宋体"/>
          <w:snapToGrid w:val="0"/>
          <w:color w:val="auto"/>
          <w:kern w:val="0"/>
          <w:sz w:val="24"/>
          <w:szCs w:val="24"/>
          <w:highlight w:val="none"/>
          <w:lang w:val="en-US" w:eastAsia="zh-CN"/>
        </w:rPr>
        <w:t>括号外的数值为水温＞12 ℃的控制指标，括号内的数值为水温≤12 ℃的控制指标。</w:t>
      </w:r>
    </w:p>
    <w:p w14:paraId="6F997265">
      <w:pPr>
        <w:numPr>
          <w:ilvl w:val="0"/>
          <w:numId w:val="0"/>
        </w:numPr>
        <w:spacing w:line="360" w:lineRule="auto"/>
        <w:ind w:leftChars="200"/>
        <w:jc w:val="left"/>
        <w:rPr>
          <w:rFonts w:hint="eastAsia" w:ascii="宋体" w:hAnsi="宋体" w:eastAsia="宋体" w:cs="宋体"/>
          <w:b/>
          <w:bCs/>
          <w:snapToGrid w:val="0"/>
          <w:color w:val="auto"/>
          <w:kern w:val="0"/>
          <w:sz w:val="24"/>
          <w:szCs w:val="24"/>
          <w:highlight w:val="none"/>
        </w:rPr>
      </w:pPr>
      <w:r>
        <w:rPr>
          <w:rFonts w:hint="eastAsia" w:ascii="宋体" w:hAnsi="宋体" w:cs="宋体"/>
          <w:b/>
          <w:bCs/>
          <w:snapToGrid w:val="0"/>
          <w:color w:val="auto"/>
          <w:kern w:val="0"/>
          <w:sz w:val="24"/>
          <w:szCs w:val="24"/>
          <w:highlight w:val="none"/>
          <w:lang w:val="en-US" w:eastAsia="zh-CN"/>
        </w:rPr>
        <w:t>4、</w:t>
      </w:r>
      <w:r>
        <w:rPr>
          <w:rFonts w:hint="eastAsia" w:ascii="宋体" w:hAnsi="宋体" w:eastAsia="宋体" w:cs="宋体"/>
          <w:b/>
          <w:bCs/>
          <w:snapToGrid w:val="0"/>
          <w:color w:val="auto"/>
          <w:kern w:val="0"/>
          <w:sz w:val="24"/>
          <w:szCs w:val="24"/>
          <w:highlight w:val="none"/>
          <w:lang w:val="en-US" w:eastAsia="zh-CN"/>
        </w:rPr>
        <w:t>工艺</w:t>
      </w:r>
      <w:r>
        <w:rPr>
          <w:rFonts w:hint="eastAsia" w:ascii="宋体" w:hAnsi="宋体" w:eastAsia="宋体" w:cs="宋体"/>
          <w:b/>
          <w:bCs/>
          <w:snapToGrid w:val="0"/>
          <w:color w:val="auto"/>
          <w:kern w:val="0"/>
          <w:sz w:val="24"/>
          <w:szCs w:val="24"/>
          <w:highlight w:val="none"/>
        </w:rPr>
        <w:t>设计</w:t>
      </w:r>
    </w:p>
    <w:p w14:paraId="7F3432C9">
      <w:pPr>
        <w:spacing w:line="360" w:lineRule="auto"/>
        <w:ind w:firstLine="482" w:firstLineChars="200"/>
        <w:jc w:val="left"/>
        <w:rPr>
          <w:rFonts w:hint="eastAsia" w:ascii="宋体" w:hAnsi="宋体" w:eastAsia="宋体" w:cs="宋体"/>
          <w:b/>
          <w:bCs/>
          <w:snapToGrid w:val="0"/>
          <w:color w:val="auto"/>
          <w:kern w:val="0"/>
          <w:sz w:val="24"/>
          <w:szCs w:val="24"/>
          <w:highlight w:val="none"/>
          <w:lang w:val="en-US" w:eastAsia="zh-CN"/>
        </w:rPr>
      </w:pPr>
      <w:r>
        <w:rPr>
          <w:rFonts w:hint="eastAsia" w:ascii="宋体" w:hAnsi="宋体" w:cs="宋体"/>
          <w:b/>
          <w:bCs/>
          <w:snapToGrid w:val="0"/>
          <w:color w:val="auto"/>
          <w:kern w:val="0"/>
          <w:sz w:val="24"/>
          <w:szCs w:val="24"/>
          <w:highlight w:val="none"/>
          <w:lang w:val="en-US" w:eastAsia="zh-CN"/>
        </w:rPr>
        <w:t>（1）</w:t>
      </w:r>
      <w:r>
        <w:rPr>
          <w:rFonts w:hint="eastAsia" w:ascii="宋体" w:hAnsi="宋体" w:eastAsia="宋体" w:cs="宋体"/>
          <w:b/>
          <w:bCs/>
          <w:snapToGrid w:val="0"/>
          <w:color w:val="auto"/>
          <w:kern w:val="0"/>
          <w:sz w:val="24"/>
          <w:szCs w:val="24"/>
          <w:highlight w:val="none"/>
          <w:lang w:val="en-US" w:eastAsia="zh-CN"/>
        </w:rPr>
        <w:t>格栅井及调节池</w:t>
      </w:r>
    </w:p>
    <w:p w14:paraId="01E8862D">
      <w:pPr>
        <w:spacing w:line="360" w:lineRule="auto"/>
        <w:ind w:firstLine="480" w:firstLineChars="200"/>
        <w:jc w:val="left"/>
        <w:rPr>
          <w:rFonts w:hint="eastAsia" w:ascii="宋体" w:hAnsi="宋体" w:eastAsia="宋体" w:cs="宋体"/>
          <w:snapToGrid w:val="0"/>
          <w:color w:val="auto"/>
          <w:kern w:val="0"/>
          <w:sz w:val="24"/>
          <w:szCs w:val="24"/>
          <w:highlight w:val="none"/>
        </w:rPr>
      </w:pPr>
      <w:r>
        <w:rPr>
          <w:rFonts w:hint="eastAsia" w:ascii="宋体" w:hAnsi="宋体" w:cs="宋体"/>
          <w:snapToGrid w:val="0"/>
          <w:color w:val="auto"/>
          <w:kern w:val="0"/>
          <w:sz w:val="24"/>
          <w:szCs w:val="24"/>
          <w:highlight w:val="none"/>
          <w:lang w:val="en-US" w:eastAsia="zh-CN"/>
        </w:rPr>
        <w:t>1）</w:t>
      </w:r>
      <w:r>
        <w:rPr>
          <w:rFonts w:hint="eastAsia" w:ascii="宋体" w:hAnsi="宋体" w:eastAsia="宋体" w:cs="宋体"/>
          <w:snapToGrid w:val="0"/>
          <w:color w:val="auto"/>
          <w:kern w:val="0"/>
          <w:sz w:val="24"/>
          <w:szCs w:val="24"/>
          <w:highlight w:val="none"/>
        </w:rPr>
        <w:t>设计功能：拦截污水中的杂物、渣滓；</w:t>
      </w:r>
    </w:p>
    <w:p w14:paraId="18B8011D">
      <w:pPr>
        <w:spacing w:line="360" w:lineRule="auto"/>
        <w:ind w:firstLine="480" w:firstLineChars="200"/>
        <w:jc w:val="left"/>
        <w:rPr>
          <w:rFonts w:hint="eastAsia" w:ascii="宋体" w:hAnsi="宋体" w:eastAsia="宋体" w:cs="宋体"/>
          <w:snapToGrid w:val="0"/>
          <w:color w:val="auto"/>
          <w:kern w:val="0"/>
          <w:sz w:val="24"/>
          <w:szCs w:val="24"/>
          <w:highlight w:val="none"/>
          <w:lang w:eastAsia="zh-CN"/>
        </w:rPr>
      </w:pPr>
      <w:r>
        <w:rPr>
          <w:rFonts w:hint="eastAsia" w:ascii="宋体" w:hAnsi="宋体" w:cs="宋体"/>
          <w:snapToGrid w:val="0"/>
          <w:color w:val="auto"/>
          <w:kern w:val="0"/>
          <w:sz w:val="24"/>
          <w:szCs w:val="24"/>
          <w:highlight w:val="none"/>
          <w:lang w:val="en-US" w:eastAsia="zh-CN"/>
        </w:rPr>
        <w:t>2）</w:t>
      </w:r>
      <w:r>
        <w:rPr>
          <w:rFonts w:hint="eastAsia" w:ascii="宋体" w:hAnsi="宋体" w:eastAsia="宋体" w:cs="宋体"/>
          <w:snapToGrid w:val="0"/>
          <w:color w:val="auto"/>
          <w:kern w:val="0"/>
          <w:sz w:val="24"/>
          <w:szCs w:val="24"/>
          <w:highlight w:val="none"/>
        </w:rPr>
        <w:t>格栅设计流量：Q平均=</w:t>
      </w:r>
      <w:r>
        <w:rPr>
          <w:rFonts w:hint="eastAsia" w:ascii="宋体" w:hAnsi="宋体" w:eastAsia="宋体" w:cs="宋体"/>
          <w:snapToGrid w:val="0"/>
          <w:color w:val="auto"/>
          <w:kern w:val="0"/>
          <w:sz w:val="24"/>
          <w:szCs w:val="24"/>
          <w:highlight w:val="none"/>
          <w:lang w:val="en-US" w:eastAsia="zh-CN"/>
        </w:rPr>
        <w:t>2.5</w:t>
      </w:r>
      <w:r>
        <w:rPr>
          <w:rFonts w:hint="eastAsia" w:ascii="宋体" w:hAnsi="宋体" w:eastAsia="宋体" w:cs="宋体"/>
          <w:snapToGrid w:val="0"/>
          <w:color w:val="auto"/>
          <w:kern w:val="0"/>
          <w:sz w:val="24"/>
          <w:szCs w:val="24"/>
          <w:highlight w:val="none"/>
        </w:rPr>
        <w:t>m</w:t>
      </w:r>
      <w:r>
        <w:rPr>
          <w:rFonts w:hint="eastAsia" w:ascii="宋体" w:hAnsi="宋体" w:eastAsia="宋体" w:cs="宋体"/>
          <w:snapToGrid w:val="0"/>
          <w:color w:val="auto"/>
          <w:kern w:val="0"/>
          <w:sz w:val="24"/>
          <w:szCs w:val="24"/>
          <w:highlight w:val="none"/>
          <w:vertAlign w:val="superscript"/>
        </w:rPr>
        <w:t>3</w:t>
      </w:r>
      <w:r>
        <w:rPr>
          <w:rFonts w:hint="eastAsia" w:ascii="宋体" w:hAnsi="宋体" w:eastAsia="宋体" w:cs="宋体"/>
          <w:snapToGrid w:val="0"/>
          <w:color w:val="auto"/>
          <w:kern w:val="0"/>
          <w:sz w:val="24"/>
          <w:szCs w:val="24"/>
          <w:highlight w:val="none"/>
        </w:rPr>
        <w:t>/h，变化系数Kz=2.</w:t>
      </w:r>
      <w:r>
        <w:rPr>
          <w:rFonts w:hint="eastAsia" w:ascii="宋体" w:hAnsi="宋体" w:eastAsia="宋体" w:cs="宋体"/>
          <w:snapToGrid w:val="0"/>
          <w:color w:val="auto"/>
          <w:kern w:val="0"/>
          <w:sz w:val="24"/>
          <w:szCs w:val="24"/>
          <w:highlight w:val="none"/>
          <w:lang w:val="en-US" w:eastAsia="zh-CN"/>
        </w:rPr>
        <w:t>7</w:t>
      </w:r>
      <w:r>
        <w:rPr>
          <w:rFonts w:hint="eastAsia" w:ascii="宋体" w:hAnsi="宋体" w:eastAsia="宋体" w:cs="宋体"/>
          <w:snapToGrid w:val="0"/>
          <w:color w:val="auto"/>
          <w:kern w:val="0"/>
          <w:sz w:val="24"/>
          <w:szCs w:val="24"/>
          <w:highlight w:val="none"/>
        </w:rPr>
        <w:t>，Qmax=</w:t>
      </w:r>
      <w:r>
        <w:rPr>
          <w:rFonts w:hint="eastAsia" w:ascii="宋体" w:hAnsi="宋体" w:eastAsia="宋体" w:cs="宋体"/>
          <w:snapToGrid w:val="0"/>
          <w:color w:val="auto"/>
          <w:kern w:val="0"/>
          <w:sz w:val="24"/>
          <w:szCs w:val="24"/>
          <w:highlight w:val="none"/>
          <w:lang w:val="en-US" w:eastAsia="zh-CN"/>
        </w:rPr>
        <w:t>6.75</w:t>
      </w:r>
      <w:r>
        <w:rPr>
          <w:rFonts w:hint="eastAsia" w:ascii="宋体" w:hAnsi="宋体" w:eastAsia="宋体" w:cs="宋体"/>
          <w:snapToGrid w:val="0"/>
          <w:color w:val="auto"/>
          <w:kern w:val="0"/>
          <w:sz w:val="24"/>
          <w:szCs w:val="24"/>
          <w:highlight w:val="none"/>
        </w:rPr>
        <w:t>m</w:t>
      </w:r>
      <w:r>
        <w:rPr>
          <w:rFonts w:hint="eastAsia" w:ascii="宋体" w:hAnsi="宋体" w:eastAsia="宋体" w:cs="宋体"/>
          <w:snapToGrid w:val="0"/>
          <w:color w:val="auto"/>
          <w:kern w:val="0"/>
          <w:sz w:val="24"/>
          <w:szCs w:val="24"/>
          <w:highlight w:val="none"/>
          <w:vertAlign w:val="superscript"/>
        </w:rPr>
        <w:t>3</w:t>
      </w:r>
      <w:r>
        <w:rPr>
          <w:rFonts w:hint="eastAsia" w:ascii="宋体" w:hAnsi="宋体" w:eastAsia="宋体" w:cs="宋体"/>
          <w:snapToGrid w:val="0"/>
          <w:color w:val="auto"/>
          <w:kern w:val="0"/>
          <w:sz w:val="24"/>
          <w:szCs w:val="24"/>
          <w:highlight w:val="none"/>
        </w:rPr>
        <w:t>/h</w:t>
      </w:r>
      <w:r>
        <w:rPr>
          <w:rFonts w:hint="eastAsia" w:ascii="宋体" w:hAnsi="宋体" w:eastAsia="宋体" w:cs="宋体"/>
          <w:snapToGrid w:val="0"/>
          <w:color w:val="auto"/>
          <w:kern w:val="0"/>
          <w:sz w:val="24"/>
          <w:szCs w:val="24"/>
          <w:highlight w:val="none"/>
          <w:lang w:eastAsia="zh-CN"/>
        </w:rPr>
        <w:t>。</w:t>
      </w:r>
    </w:p>
    <w:p w14:paraId="26353C07">
      <w:pPr>
        <w:spacing w:line="360" w:lineRule="auto"/>
        <w:ind w:firstLine="480" w:firstLineChars="200"/>
        <w:jc w:val="left"/>
        <w:rPr>
          <w:rFonts w:hint="eastAsia" w:ascii="宋体" w:hAnsi="宋体" w:eastAsia="宋体" w:cs="宋体"/>
          <w:snapToGrid w:val="0"/>
          <w:color w:val="auto"/>
          <w:kern w:val="0"/>
          <w:sz w:val="24"/>
          <w:szCs w:val="24"/>
          <w:highlight w:val="none"/>
          <w:lang w:val="en-US" w:eastAsia="zh-CN"/>
        </w:rPr>
      </w:pPr>
      <w:r>
        <w:rPr>
          <w:rFonts w:hint="eastAsia" w:ascii="宋体" w:hAnsi="宋体" w:cs="宋体"/>
          <w:snapToGrid w:val="0"/>
          <w:color w:val="auto"/>
          <w:kern w:val="0"/>
          <w:sz w:val="24"/>
          <w:szCs w:val="24"/>
          <w:highlight w:val="none"/>
          <w:lang w:val="en-US" w:eastAsia="zh-CN"/>
        </w:rPr>
        <w:t>3）</w:t>
      </w:r>
      <w:r>
        <w:rPr>
          <w:rFonts w:hint="eastAsia" w:ascii="宋体" w:hAnsi="宋体" w:eastAsia="宋体" w:cs="宋体"/>
          <w:snapToGrid w:val="0"/>
          <w:color w:val="auto"/>
          <w:kern w:val="0"/>
          <w:sz w:val="24"/>
          <w:szCs w:val="24"/>
          <w:highlight w:val="none"/>
          <w:lang w:val="en-US" w:eastAsia="zh-CN"/>
        </w:rPr>
        <w:t>主要设备材料：</w:t>
      </w:r>
    </w:p>
    <w:p w14:paraId="609471DC">
      <w:pPr>
        <w:spacing w:line="360" w:lineRule="auto"/>
        <w:ind w:firstLine="480" w:firstLineChars="200"/>
        <w:jc w:val="left"/>
        <w:rPr>
          <w:rFonts w:hint="eastAsia" w:ascii="宋体" w:hAnsi="宋体" w:eastAsia="宋体" w:cs="宋体"/>
          <w:snapToGrid w:val="0"/>
          <w:color w:val="auto"/>
          <w:kern w:val="0"/>
          <w:sz w:val="24"/>
          <w:szCs w:val="24"/>
          <w:highlight w:val="none"/>
          <w:lang w:val="en-US" w:eastAsia="zh-CN"/>
        </w:rPr>
      </w:pPr>
      <w:r>
        <w:rPr>
          <w:rFonts w:hint="eastAsia" w:ascii="宋体" w:hAnsi="宋体" w:cs="宋体"/>
          <w:snapToGrid w:val="0"/>
          <w:color w:val="auto"/>
          <w:kern w:val="0"/>
          <w:sz w:val="24"/>
          <w:szCs w:val="24"/>
          <w:highlight w:val="none"/>
          <w:lang w:val="en-US" w:eastAsia="zh-CN"/>
        </w:rPr>
        <w:t>①</w:t>
      </w:r>
      <w:r>
        <w:rPr>
          <w:rFonts w:hint="eastAsia" w:ascii="宋体" w:hAnsi="宋体" w:eastAsia="宋体" w:cs="宋体"/>
          <w:snapToGrid w:val="0"/>
          <w:color w:val="auto"/>
          <w:kern w:val="0"/>
          <w:sz w:val="24"/>
          <w:szCs w:val="24"/>
          <w:highlight w:val="none"/>
          <w:lang w:val="en-US" w:eastAsia="zh-CN"/>
        </w:rPr>
        <w:t>不锈钢平面格栅，1套，尺寸800×700；</w:t>
      </w:r>
    </w:p>
    <w:p w14:paraId="6B7B8585">
      <w:pPr>
        <w:spacing w:line="360" w:lineRule="auto"/>
        <w:ind w:firstLine="480" w:firstLineChars="200"/>
        <w:jc w:val="left"/>
        <w:rPr>
          <w:rFonts w:hint="eastAsia" w:ascii="宋体" w:hAnsi="宋体" w:eastAsia="宋体" w:cs="宋体"/>
          <w:snapToGrid w:val="0"/>
          <w:color w:val="auto"/>
          <w:kern w:val="0"/>
          <w:sz w:val="24"/>
          <w:szCs w:val="24"/>
          <w:highlight w:val="none"/>
          <w:lang w:val="en-US" w:eastAsia="zh-CN"/>
        </w:rPr>
      </w:pPr>
      <w:r>
        <w:rPr>
          <w:rFonts w:hint="eastAsia" w:ascii="宋体" w:hAnsi="宋体" w:cs="宋体"/>
          <w:snapToGrid w:val="0"/>
          <w:color w:val="auto"/>
          <w:kern w:val="0"/>
          <w:sz w:val="24"/>
          <w:szCs w:val="24"/>
          <w:highlight w:val="none"/>
          <w:lang w:val="en-US" w:eastAsia="zh-CN"/>
        </w:rPr>
        <w:t>②</w:t>
      </w:r>
      <w:r>
        <w:rPr>
          <w:rFonts w:hint="eastAsia" w:ascii="宋体" w:hAnsi="宋体" w:eastAsia="宋体" w:cs="宋体"/>
          <w:snapToGrid w:val="0"/>
          <w:color w:val="auto"/>
          <w:kern w:val="0"/>
          <w:sz w:val="24"/>
          <w:szCs w:val="24"/>
          <w:highlight w:val="none"/>
          <w:lang w:val="en-US" w:eastAsia="zh-CN"/>
        </w:rPr>
        <w:t>潜污泵，2台，流量5m</w:t>
      </w:r>
      <w:r>
        <w:rPr>
          <w:rFonts w:hint="eastAsia" w:ascii="宋体" w:hAnsi="宋体" w:eastAsia="宋体" w:cs="宋体"/>
          <w:snapToGrid w:val="0"/>
          <w:color w:val="auto"/>
          <w:kern w:val="0"/>
          <w:sz w:val="24"/>
          <w:szCs w:val="24"/>
          <w:highlight w:val="none"/>
          <w:vertAlign w:val="superscript"/>
          <w:lang w:val="en-US" w:eastAsia="zh-CN"/>
        </w:rPr>
        <w:t>3</w:t>
      </w:r>
      <w:r>
        <w:rPr>
          <w:rFonts w:hint="eastAsia" w:ascii="宋体" w:hAnsi="宋体" w:eastAsia="宋体" w:cs="宋体"/>
          <w:snapToGrid w:val="0"/>
          <w:color w:val="auto"/>
          <w:kern w:val="0"/>
          <w:sz w:val="24"/>
          <w:szCs w:val="24"/>
          <w:highlight w:val="none"/>
          <w:lang w:val="en-US" w:eastAsia="zh-CN"/>
        </w:rPr>
        <w:t>/h，扬程7m，功率370W。</w:t>
      </w:r>
    </w:p>
    <w:p w14:paraId="01674E36">
      <w:pPr>
        <w:spacing w:line="360" w:lineRule="auto"/>
        <w:ind w:firstLine="480" w:firstLineChars="200"/>
        <w:jc w:val="left"/>
        <w:rPr>
          <w:rFonts w:hint="eastAsia" w:ascii="宋体" w:hAnsi="宋体" w:eastAsia="宋体" w:cs="宋体"/>
          <w:snapToGrid w:val="0"/>
          <w:color w:val="auto"/>
          <w:kern w:val="0"/>
          <w:sz w:val="24"/>
          <w:szCs w:val="24"/>
          <w:highlight w:val="none"/>
          <w:lang w:val="en-US" w:eastAsia="zh-CN"/>
        </w:rPr>
      </w:pPr>
      <w:r>
        <w:rPr>
          <w:rFonts w:hint="eastAsia" w:ascii="宋体" w:hAnsi="宋体" w:cs="宋体"/>
          <w:snapToGrid w:val="0"/>
          <w:color w:val="auto"/>
          <w:kern w:val="0"/>
          <w:sz w:val="24"/>
          <w:szCs w:val="24"/>
          <w:highlight w:val="none"/>
          <w:lang w:val="en-US" w:eastAsia="zh-CN"/>
        </w:rPr>
        <w:t>③</w:t>
      </w:r>
      <w:r>
        <w:rPr>
          <w:rFonts w:hint="eastAsia" w:ascii="宋体" w:hAnsi="宋体" w:eastAsia="宋体" w:cs="宋体"/>
          <w:snapToGrid w:val="0"/>
          <w:color w:val="auto"/>
          <w:kern w:val="0"/>
          <w:sz w:val="24"/>
          <w:szCs w:val="24"/>
          <w:highlight w:val="none"/>
          <w:lang w:val="en-US" w:eastAsia="zh-CN"/>
        </w:rPr>
        <w:t>浮球液位计0~5m，4~20mA。</w:t>
      </w:r>
    </w:p>
    <w:p w14:paraId="7C4D1110">
      <w:pPr>
        <w:spacing w:line="360" w:lineRule="auto"/>
        <w:ind w:firstLine="482" w:firstLineChars="200"/>
        <w:jc w:val="left"/>
        <w:rPr>
          <w:rFonts w:hint="eastAsia" w:ascii="宋体" w:hAnsi="宋体" w:eastAsia="宋体" w:cs="宋体"/>
          <w:b/>
          <w:bCs/>
          <w:snapToGrid w:val="0"/>
          <w:color w:val="auto"/>
          <w:kern w:val="0"/>
          <w:sz w:val="24"/>
          <w:szCs w:val="24"/>
          <w:highlight w:val="none"/>
          <w:lang w:val="en-US"/>
        </w:rPr>
      </w:pPr>
      <w:r>
        <w:rPr>
          <w:rFonts w:hint="eastAsia" w:ascii="宋体" w:hAnsi="宋体" w:cs="宋体"/>
          <w:b/>
          <w:bCs/>
          <w:snapToGrid w:val="0"/>
          <w:color w:val="auto"/>
          <w:kern w:val="0"/>
          <w:sz w:val="24"/>
          <w:szCs w:val="24"/>
          <w:highlight w:val="none"/>
          <w:lang w:val="en-US" w:eastAsia="zh-CN"/>
        </w:rPr>
        <w:t>（2）</w:t>
      </w:r>
      <w:r>
        <w:rPr>
          <w:rFonts w:hint="eastAsia" w:ascii="宋体" w:hAnsi="宋体" w:eastAsia="宋体" w:cs="宋体"/>
          <w:b/>
          <w:bCs/>
          <w:snapToGrid w:val="0"/>
          <w:color w:val="auto"/>
          <w:kern w:val="0"/>
          <w:sz w:val="24"/>
          <w:szCs w:val="24"/>
          <w:highlight w:val="none"/>
          <w:lang w:val="en-US" w:eastAsia="zh-CN"/>
        </w:rPr>
        <w:t>两微智能污水一体化处理设备</w:t>
      </w:r>
    </w:p>
    <w:p w14:paraId="06FEE4FD">
      <w:pPr>
        <w:spacing w:line="360" w:lineRule="auto"/>
        <w:ind w:firstLine="480" w:firstLineChars="200"/>
        <w:jc w:val="left"/>
        <w:rPr>
          <w:rFonts w:hint="eastAsia" w:ascii="宋体" w:hAnsi="宋体" w:eastAsia="宋体" w:cs="宋体"/>
          <w:snapToGrid w:val="0"/>
          <w:color w:val="auto"/>
          <w:kern w:val="0"/>
          <w:sz w:val="24"/>
          <w:szCs w:val="24"/>
          <w:highlight w:val="none"/>
        </w:rPr>
      </w:pPr>
      <w:r>
        <w:rPr>
          <w:rFonts w:hint="eastAsia" w:ascii="宋体" w:hAnsi="宋体" w:cs="宋体"/>
          <w:snapToGrid w:val="0"/>
          <w:color w:val="auto"/>
          <w:kern w:val="0"/>
          <w:sz w:val="24"/>
          <w:szCs w:val="24"/>
          <w:highlight w:val="none"/>
          <w:lang w:val="en-US" w:eastAsia="zh-CN"/>
        </w:rPr>
        <w:t>1）</w:t>
      </w:r>
      <w:r>
        <w:rPr>
          <w:rFonts w:hint="eastAsia" w:ascii="宋体" w:hAnsi="宋体" w:eastAsia="宋体" w:cs="宋体"/>
          <w:snapToGrid w:val="0"/>
          <w:color w:val="auto"/>
          <w:kern w:val="0"/>
          <w:sz w:val="24"/>
          <w:szCs w:val="24"/>
          <w:highlight w:val="none"/>
        </w:rPr>
        <w:t>设计功能：去除各类污染物、固液分离。</w:t>
      </w:r>
    </w:p>
    <w:p w14:paraId="42CB7E6B">
      <w:pPr>
        <w:spacing w:line="360" w:lineRule="auto"/>
        <w:ind w:firstLine="480" w:firstLineChars="200"/>
        <w:jc w:val="left"/>
        <w:rPr>
          <w:rFonts w:hint="eastAsia" w:ascii="宋体" w:hAnsi="宋体" w:eastAsia="宋体" w:cs="宋体"/>
          <w:snapToGrid w:val="0"/>
          <w:color w:val="auto"/>
          <w:kern w:val="0"/>
          <w:sz w:val="24"/>
          <w:szCs w:val="24"/>
          <w:highlight w:val="none"/>
        </w:rPr>
      </w:pPr>
      <w:r>
        <w:rPr>
          <w:rFonts w:hint="eastAsia" w:ascii="宋体" w:hAnsi="宋体" w:cs="宋体"/>
          <w:snapToGrid w:val="0"/>
          <w:color w:val="auto"/>
          <w:kern w:val="0"/>
          <w:sz w:val="24"/>
          <w:szCs w:val="24"/>
          <w:highlight w:val="none"/>
          <w:lang w:val="en-US" w:eastAsia="zh-CN"/>
        </w:rPr>
        <w:t>2）</w:t>
      </w:r>
      <w:r>
        <w:rPr>
          <w:rFonts w:hint="eastAsia" w:ascii="宋体" w:hAnsi="宋体" w:eastAsia="宋体" w:cs="宋体"/>
          <w:snapToGrid w:val="0"/>
          <w:color w:val="auto"/>
          <w:kern w:val="0"/>
          <w:sz w:val="24"/>
          <w:szCs w:val="24"/>
          <w:highlight w:val="none"/>
        </w:rPr>
        <w:t>设备规格：直径</w:t>
      </w:r>
      <w:r>
        <w:rPr>
          <w:rFonts w:hint="eastAsia" w:ascii="宋体" w:hAnsi="宋体" w:eastAsia="宋体" w:cs="宋体"/>
          <w:snapToGrid w:val="0"/>
          <w:color w:val="auto"/>
          <w:kern w:val="0"/>
          <w:sz w:val="24"/>
          <w:szCs w:val="24"/>
          <w:highlight w:val="none"/>
          <w:lang w:val="en-US" w:eastAsia="zh-CN"/>
        </w:rPr>
        <w:t>1.82</w:t>
      </w:r>
      <w:r>
        <w:rPr>
          <w:rFonts w:hint="eastAsia" w:ascii="宋体" w:hAnsi="宋体" w:eastAsia="宋体" w:cs="宋体"/>
          <w:snapToGrid w:val="0"/>
          <w:color w:val="auto"/>
          <w:kern w:val="0"/>
          <w:sz w:val="24"/>
          <w:szCs w:val="24"/>
          <w:highlight w:val="none"/>
        </w:rPr>
        <w:t>m，高2.</w:t>
      </w:r>
      <w:r>
        <w:rPr>
          <w:rFonts w:hint="eastAsia" w:ascii="宋体" w:hAnsi="宋体" w:eastAsia="宋体" w:cs="宋体"/>
          <w:snapToGrid w:val="0"/>
          <w:color w:val="auto"/>
          <w:kern w:val="0"/>
          <w:sz w:val="24"/>
          <w:szCs w:val="24"/>
          <w:highlight w:val="none"/>
          <w:lang w:val="en-US" w:eastAsia="zh-CN"/>
        </w:rPr>
        <w:t>45</w:t>
      </w:r>
      <w:r>
        <w:rPr>
          <w:rFonts w:hint="eastAsia" w:ascii="宋体" w:hAnsi="宋体" w:eastAsia="宋体" w:cs="宋体"/>
          <w:snapToGrid w:val="0"/>
          <w:color w:val="auto"/>
          <w:kern w:val="0"/>
          <w:sz w:val="24"/>
          <w:szCs w:val="24"/>
          <w:highlight w:val="none"/>
        </w:rPr>
        <w:t>m，</w:t>
      </w:r>
      <w:r>
        <w:rPr>
          <w:rFonts w:hint="eastAsia" w:ascii="宋体" w:hAnsi="宋体" w:cs="宋体"/>
          <w:snapToGrid w:val="0"/>
          <w:color w:val="auto"/>
          <w:kern w:val="0"/>
          <w:sz w:val="24"/>
          <w:szCs w:val="24"/>
          <w:highlight w:val="none"/>
          <w:lang w:val="en-US" w:eastAsia="zh-CN"/>
        </w:rPr>
        <w:t>8</w:t>
      </w:r>
      <w:r>
        <w:rPr>
          <w:rFonts w:hint="eastAsia" w:ascii="宋体" w:hAnsi="宋体" w:eastAsia="宋体" w:cs="宋体"/>
          <w:snapToGrid w:val="0"/>
          <w:color w:val="auto"/>
          <w:kern w:val="0"/>
          <w:sz w:val="24"/>
          <w:szCs w:val="24"/>
          <w:highlight w:val="none"/>
          <w:lang w:val="en-US" w:eastAsia="zh-CN"/>
        </w:rPr>
        <w:t>套</w:t>
      </w:r>
      <w:r>
        <w:rPr>
          <w:rFonts w:hint="eastAsia" w:ascii="宋体" w:hAnsi="宋体" w:eastAsia="宋体" w:cs="宋体"/>
          <w:snapToGrid w:val="0"/>
          <w:color w:val="auto"/>
          <w:kern w:val="0"/>
          <w:sz w:val="24"/>
          <w:szCs w:val="24"/>
          <w:highlight w:val="none"/>
        </w:rPr>
        <w:t>。</w:t>
      </w:r>
    </w:p>
    <w:p w14:paraId="792D9518">
      <w:pPr>
        <w:spacing w:line="360" w:lineRule="auto"/>
        <w:ind w:firstLine="480" w:firstLineChars="200"/>
        <w:jc w:val="left"/>
        <w:rPr>
          <w:rFonts w:hint="eastAsia" w:ascii="宋体" w:hAnsi="宋体" w:eastAsia="宋体" w:cs="宋体"/>
          <w:snapToGrid w:val="0"/>
          <w:color w:val="auto"/>
          <w:kern w:val="0"/>
          <w:sz w:val="24"/>
          <w:szCs w:val="24"/>
          <w:highlight w:val="none"/>
          <w:lang w:val="en-US" w:eastAsia="zh-CN"/>
        </w:rPr>
      </w:pPr>
      <w:r>
        <w:rPr>
          <w:rFonts w:hint="eastAsia" w:ascii="宋体" w:hAnsi="宋体" w:cs="宋体"/>
          <w:snapToGrid w:val="0"/>
          <w:color w:val="auto"/>
          <w:kern w:val="0"/>
          <w:sz w:val="24"/>
          <w:szCs w:val="24"/>
          <w:highlight w:val="none"/>
          <w:lang w:val="en-US" w:eastAsia="zh-CN"/>
        </w:rPr>
        <w:t>3)</w:t>
      </w:r>
      <w:r>
        <w:rPr>
          <w:rFonts w:hint="eastAsia" w:ascii="宋体" w:hAnsi="宋体" w:eastAsia="宋体" w:cs="宋体"/>
          <w:snapToGrid w:val="0"/>
          <w:color w:val="auto"/>
          <w:kern w:val="0"/>
          <w:sz w:val="24"/>
          <w:szCs w:val="24"/>
          <w:highlight w:val="none"/>
          <w:lang w:val="en-US" w:eastAsia="zh-CN"/>
        </w:rPr>
        <w:t>设备材质：滚塑，PE。</w:t>
      </w:r>
    </w:p>
    <w:p w14:paraId="3EF936C5">
      <w:pPr>
        <w:spacing w:line="360" w:lineRule="auto"/>
        <w:ind w:firstLine="480" w:firstLineChars="200"/>
        <w:jc w:val="left"/>
        <w:rPr>
          <w:rFonts w:hint="eastAsia" w:ascii="宋体" w:hAnsi="宋体" w:eastAsia="宋体" w:cs="宋体"/>
          <w:snapToGrid w:val="0"/>
          <w:color w:val="auto"/>
          <w:kern w:val="0"/>
          <w:sz w:val="24"/>
          <w:szCs w:val="24"/>
          <w:highlight w:val="none"/>
        </w:rPr>
      </w:pPr>
      <w:r>
        <w:rPr>
          <w:rFonts w:hint="eastAsia" w:ascii="宋体" w:hAnsi="宋体" w:cs="宋体"/>
          <w:snapToGrid w:val="0"/>
          <w:color w:val="auto"/>
          <w:kern w:val="0"/>
          <w:sz w:val="24"/>
          <w:szCs w:val="24"/>
          <w:highlight w:val="none"/>
          <w:lang w:val="en-US" w:eastAsia="zh-CN"/>
        </w:rPr>
        <w:t>4)</w:t>
      </w:r>
      <w:r>
        <w:rPr>
          <w:rFonts w:hint="eastAsia" w:ascii="宋体" w:hAnsi="宋体" w:eastAsia="宋体" w:cs="宋体"/>
          <w:snapToGrid w:val="0"/>
          <w:color w:val="auto"/>
          <w:kern w:val="0"/>
          <w:sz w:val="24"/>
          <w:szCs w:val="24"/>
          <w:highlight w:val="none"/>
        </w:rPr>
        <w:t>设计参数：</w:t>
      </w:r>
    </w:p>
    <w:p w14:paraId="34257F67">
      <w:pPr>
        <w:spacing w:line="360" w:lineRule="auto"/>
        <w:ind w:firstLine="480" w:firstLineChars="200"/>
        <w:jc w:val="left"/>
        <w:rPr>
          <w:rFonts w:hint="eastAsia" w:ascii="宋体" w:hAnsi="宋体" w:eastAsia="宋体" w:cs="宋体"/>
          <w:snapToGrid w:val="0"/>
          <w:color w:val="auto"/>
          <w:kern w:val="0"/>
          <w:sz w:val="24"/>
          <w:szCs w:val="24"/>
          <w:highlight w:val="none"/>
        </w:rPr>
      </w:pPr>
      <w:r>
        <w:rPr>
          <w:rFonts w:hint="eastAsia" w:ascii="宋体" w:hAnsi="宋体" w:cs="宋体"/>
          <w:snapToGrid w:val="0"/>
          <w:color w:val="auto"/>
          <w:kern w:val="0"/>
          <w:sz w:val="24"/>
          <w:szCs w:val="24"/>
          <w:highlight w:val="none"/>
          <w:lang w:val="en-US" w:eastAsia="zh-CN"/>
        </w:rPr>
        <w:t>①</w:t>
      </w:r>
      <w:r>
        <w:rPr>
          <w:rFonts w:hint="eastAsia" w:ascii="宋体" w:hAnsi="宋体" w:eastAsia="宋体" w:cs="宋体"/>
          <w:snapToGrid w:val="0"/>
          <w:color w:val="auto"/>
          <w:kern w:val="0"/>
          <w:sz w:val="24"/>
          <w:szCs w:val="24"/>
          <w:highlight w:val="none"/>
          <w:lang w:val="en-US" w:eastAsia="zh-CN"/>
        </w:rPr>
        <w:t>表面有机负荷：5</w:t>
      </w:r>
      <w:r>
        <w:rPr>
          <w:rFonts w:hint="eastAsia" w:ascii="宋体" w:hAnsi="宋体" w:eastAsia="宋体" w:cs="宋体"/>
          <w:snapToGrid w:val="0"/>
          <w:color w:val="auto"/>
          <w:kern w:val="0"/>
          <w:sz w:val="24"/>
          <w:szCs w:val="24"/>
          <w:highlight w:val="none"/>
        </w:rPr>
        <w:t>gBOD/</w:t>
      </w:r>
      <w:r>
        <w:rPr>
          <w:rFonts w:hint="eastAsia" w:ascii="宋体" w:hAnsi="宋体" w:eastAsia="宋体" w:cs="宋体"/>
          <w:snapToGrid w:val="0"/>
          <w:color w:val="auto"/>
          <w:kern w:val="0"/>
          <w:sz w:val="24"/>
          <w:szCs w:val="24"/>
          <w:highlight w:val="none"/>
          <w:lang w:val="en-US" w:eastAsia="zh-CN"/>
        </w:rPr>
        <w:t>m</w:t>
      </w:r>
      <w:r>
        <w:rPr>
          <w:rFonts w:hint="eastAsia" w:ascii="宋体" w:hAnsi="宋体" w:eastAsia="宋体" w:cs="宋体"/>
          <w:snapToGrid w:val="0"/>
          <w:color w:val="auto"/>
          <w:kern w:val="0"/>
          <w:sz w:val="24"/>
          <w:szCs w:val="24"/>
          <w:highlight w:val="none"/>
          <w:vertAlign w:val="superscript"/>
          <w:lang w:val="en-US" w:eastAsia="zh-CN"/>
        </w:rPr>
        <w:t>2</w:t>
      </w:r>
      <w:r>
        <w:rPr>
          <w:rFonts w:hint="eastAsia" w:ascii="宋体" w:hAnsi="宋体" w:eastAsia="宋体" w:cs="宋体"/>
          <w:snapToGrid w:val="0"/>
          <w:color w:val="auto"/>
          <w:kern w:val="0"/>
          <w:sz w:val="24"/>
          <w:szCs w:val="24"/>
          <w:highlight w:val="none"/>
        </w:rPr>
        <w:t>·d</w:t>
      </w:r>
    </w:p>
    <w:p w14:paraId="6B6D5EA3">
      <w:pPr>
        <w:spacing w:line="360" w:lineRule="auto"/>
        <w:ind w:firstLine="480" w:firstLineChars="200"/>
        <w:jc w:val="left"/>
        <w:rPr>
          <w:rFonts w:hint="eastAsia" w:ascii="宋体" w:hAnsi="宋体" w:eastAsia="宋体" w:cs="宋体"/>
          <w:snapToGrid w:val="0"/>
          <w:color w:val="auto"/>
          <w:kern w:val="0"/>
          <w:sz w:val="24"/>
          <w:szCs w:val="24"/>
          <w:highlight w:val="none"/>
        </w:rPr>
      </w:pPr>
      <w:r>
        <w:rPr>
          <w:rFonts w:hint="eastAsia" w:ascii="宋体" w:hAnsi="宋体" w:cs="宋体"/>
          <w:snapToGrid w:val="0"/>
          <w:color w:val="auto"/>
          <w:kern w:val="0"/>
          <w:sz w:val="24"/>
          <w:szCs w:val="24"/>
          <w:highlight w:val="none"/>
          <w:lang w:val="en-US" w:eastAsia="zh-CN"/>
        </w:rPr>
        <w:t>②</w:t>
      </w:r>
      <w:r>
        <w:rPr>
          <w:rFonts w:hint="eastAsia" w:ascii="宋体" w:hAnsi="宋体" w:eastAsia="宋体" w:cs="宋体"/>
          <w:snapToGrid w:val="0"/>
          <w:color w:val="auto"/>
          <w:kern w:val="0"/>
          <w:sz w:val="24"/>
          <w:szCs w:val="24"/>
          <w:highlight w:val="none"/>
          <w:lang w:val="en-US" w:eastAsia="zh-CN"/>
        </w:rPr>
        <w:t>表面硝化负荷：0.5</w:t>
      </w:r>
      <w:r>
        <w:rPr>
          <w:rFonts w:hint="eastAsia" w:ascii="宋体" w:hAnsi="宋体" w:eastAsia="宋体" w:cs="宋体"/>
          <w:snapToGrid w:val="0"/>
          <w:color w:val="auto"/>
          <w:kern w:val="0"/>
          <w:sz w:val="24"/>
          <w:szCs w:val="24"/>
          <w:highlight w:val="none"/>
        </w:rPr>
        <w:t>gNH3-Ng/</w:t>
      </w:r>
      <w:r>
        <w:rPr>
          <w:rFonts w:hint="eastAsia" w:ascii="宋体" w:hAnsi="宋体" w:eastAsia="宋体" w:cs="宋体"/>
          <w:snapToGrid w:val="0"/>
          <w:color w:val="auto"/>
          <w:kern w:val="0"/>
          <w:sz w:val="24"/>
          <w:szCs w:val="24"/>
          <w:highlight w:val="none"/>
          <w:lang w:val="en-US" w:eastAsia="zh-CN"/>
        </w:rPr>
        <w:t>m</w:t>
      </w:r>
      <w:r>
        <w:rPr>
          <w:rFonts w:hint="eastAsia" w:ascii="宋体" w:hAnsi="宋体" w:eastAsia="宋体" w:cs="宋体"/>
          <w:snapToGrid w:val="0"/>
          <w:color w:val="auto"/>
          <w:kern w:val="0"/>
          <w:sz w:val="24"/>
          <w:szCs w:val="24"/>
          <w:highlight w:val="none"/>
          <w:vertAlign w:val="superscript"/>
          <w:lang w:val="en-US" w:eastAsia="zh-CN"/>
        </w:rPr>
        <w:t>2</w:t>
      </w:r>
      <w:r>
        <w:rPr>
          <w:rFonts w:hint="eastAsia" w:ascii="宋体" w:hAnsi="宋体" w:eastAsia="宋体" w:cs="宋体"/>
          <w:snapToGrid w:val="0"/>
          <w:color w:val="auto"/>
          <w:kern w:val="0"/>
          <w:sz w:val="24"/>
          <w:szCs w:val="24"/>
          <w:highlight w:val="none"/>
        </w:rPr>
        <w:t>·d</w:t>
      </w:r>
    </w:p>
    <w:p w14:paraId="207A851A">
      <w:pPr>
        <w:spacing w:line="360" w:lineRule="auto"/>
        <w:ind w:firstLine="480" w:firstLineChars="200"/>
        <w:jc w:val="left"/>
        <w:rPr>
          <w:rFonts w:hint="eastAsia" w:ascii="宋体" w:hAnsi="宋体" w:eastAsia="宋体" w:cs="宋体"/>
          <w:snapToGrid w:val="0"/>
          <w:color w:val="auto"/>
          <w:kern w:val="0"/>
          <w:sz w:val="24"/>
          <w:szCs w:val="24"/>
          <w:highlight w:val="none"/>
          <w:lang w:val="en-US" w:eastAsia="zh-CN"/>
        </w:rPr>
      </w:pPr>
      <w:r>
        <w:rPr>
          <w:rFonts w:hint="eastAsia" w:ascii="宋体" w:hAnsi="宋体" w:cs="宋体"/>
          <w:snapToGrid w:val="0"/>
          <w:color w:val="auto"/>
          <w:kern w:val="0"/>
          <w:sz w:val="24"/>
          <w:szCs w:val="24"/>
          <w:highlight w:val="none"/>
          <w:lang w:val="en-US" w:eastAsia="zh-CN"/>
        </w:rPr>
        <w:t>③</w:t>
      </w:r>
      <w:r>
        <w:rPr>
          <w:rFonts w:hint="eastAsia" w:ascii="宋体" w:hAnsi="宋体" w:eastAsia="宋体" w:cs="宋体"/>
          <w:snapToGrid w:val="0"/>
          <w:color w:val="auto"/>
          <w:kern w:val="0"/>
          <w:sz w:val="24"/>
          <w:szCs w:val="24"/>
          <w:highlight w:val="none"/>
          <w:lang w:val="en-US" w:eastAsia="zh-CN"/>
        </w:rPr>
        <w:t>填料比表面积：≥260m</w:t>
      </w:r>
      <w:r>
        <w:rPr>
          <w:rFonts w:hint="eastAsia" w:ascii="宋体" w:hAnsi="宋体" w:eastAsia="宋体" w:cs="宋体"/>
          <w:snapToGrid w:val="0"/>
          <w:color w:val="auto"/>
          <w:kern w:val="0"/>
          <w:sz w:val="24"/>
          <w:szCs w:val="24"/>
          <w:highlight w:val="none"/>
          <w:vertAlign w:val="superscript"/>
          <w:lang w:val="en-US" w:eastAsia="zh-CN"/>
        </w:rPr>
        <w:t>2</w:t>
      </w:r>
      <w:r>
        <w:rPr>
          <w:rFonts w:hint="eastAsia" w:ascii="宋体" w:hAnsi="宋体" w:eastAsia="宋体" w:cs="宋体"/>
          <w:snapToGrid w:val="0"/>
          <w:color w:val="auto"/>
          <w:kern w:val="0"/>
          <w:sz w:val="24"/>
          <w:szCs w:val="24"/>
          <w:highlight w:val="none"/>
        </w:rPr>
        <w:t>/</w:t>
      </w:r>
      <w:r>
        <w:rPr>
          <w:rFonts w:hint="eastAsia" w:ascii="宋体" w:hAnsi="宋体" w:eastAsia="宋体" w:cs="宋体"/>
          <w:snapToGrid w:val="0"/>
          <w:color w:val="auto"/>
          <w:kern w:val="0"/>
          <w:sz w:val="24"/>
          <w:szCs w:val="24"/>
          <w:highlight w:val="none"/>
          <w:lang w:val="en-US" w:eastAsia="zh-CN"/>
        </w:rPr>
        <w:t>m3</w:t>
      </w:r>
    </w:p>
    <w:p w14:paraId="15C7E5B4">
      <w:pPr>
        <w:spacing w:line="360" w:lineRule="auto"/>
        <w:ind w:firstLine="480" w:firstLineChars="200"/>
        <w:jc w:val="left"/>
        <w:rPr>
          <w:rFonts w:hint="eastAsia" w:ascii="宋体" w:hAnsi="宋体" w:eastAsia="宋体" w:cs="宋体"/>
          <w:snapToGrid w:val="0"/>
          <w:color w:val="auto"/>
          <w:kern w:val="0"/>
          <w:sz w:val="24"/>
          <w:szCs w:val="24"/>
          <w:highlight w:val="none"/>
          <w:lang w:val="en-US" w:eastAsia="zh-CN"/>
        </w:rPr>
      </w:pPr>
      <w:r>
        <w:rPr>
          <w:rFonts w:hint="eastAsia" w:ascii="宋体" w:hAnsi="宋体" w:cs="宋体"/>
          <w:snapToGrid w:val="0"/>
          <w:color w:val="auto"/>
          <w:kern w:val="0"/>
          <w:sz w:val="24"/>
          <w:szCs w:val="24"/>
          <w:highlight w:val="none"/>
          <w:lang w:val="en-US" w:eastAsia="zh-CN"/>
        </w:rPr>
        <w:t>④</w:t>
      </w:r>
      <w:r>
        <w:rPr>
          <w:rFonts w:hint="eastAsia" w:ascii="宋体" w:hAnsi="宋体" w:eastAsia="宋体" w:cs="宋体"/>
          <w:snapToGrid w:val="0"/>
          <w:color w:val="auto"/>
          <w:kern w:val="0"/>
          <w:sz w:val="24"/>
          <w:szCs w:val="24"/>
          <w:highlight w:val="none"/>
          <w:lang w:val="en-US" w:eastAsia="zh-CN"/>
        </w:rPr>
        <w:t>有效容积：28m</w:t>
      </w:r>
      <w:r>
        <w:rPr>
          <w:rFonts w:hint="eastAsia" w:ascii="宋体" w:hAnsi="宋体" w:eastAsia="宋体" w:cs="宋体"/>
          <w:snapToGrid w:val="0"/>
          <w:color w:val="auto"/>
          <w:kern w:val="0"/>
          <w:sz w:val="24"/>
          <w:szCs w:val="24"/>
          <w:highlight w:val="none"/>
          <w:vertAlign w:val="superscript"/>
          <w:lang w:val="en-US" w:eastAsia="zh-CN"/>
        </w:rPr>
        <w:t>3</w:t>
      </w:r>
    </w:p>
    <w:p w14:paraId="7604EC3A">
      <w:pPr>
        <w:spacing w:line="360" w:lineRule="auto"/>
        <w:ind w:firstLine="480" w:firstLineChars="200"/>
        <w:jc w:val="left"/>
        <w:rPr>
          <w:rFonts w:hint="eastAsia" w:ascii="宋体" w:hAnsi="宋体" w:eastAsia="宋体" w:cs="宋体"/>
          <w:snapToGrid w:val="0"/>
          <w:color w:val="auto"/>
          <w:kern w:val="0"/>
          <w:sz w:val="24"/>
          <w:szCs w:val="24"/>
          <w:highlight w:val="none"/>
          <w:lang w:val="en-US" w:eastAsia="zh-CN"/>
        </w:rPr>
      </w:pPr>
      <w:r>
        <w:rPr>
          <w:rFonts w:hint="eastAsia" w:ascii="宋体" w:hAnsi="宋体" w:cs="宋体"/>
          <w:snapToGrid w:val="0"/>
          <w:color w:val="auto"/>
          <w:kern w:val="0"/>
          <w:sz w:val="24"/>
          <w:szCs w:val="24"/>
          <w:highlight w:val="none"/>
          <w:lang w:val="en-US" w:eastAsia="zh-CN"/>
        </w:rPr>
        <w:t>⑤</w:t>
      </w:r>
      <w:r>
        <w:rPr>
          <w:rFonts w:hint="eastAsia" w:ascii="宋体" w:hAnsi="宋体" w:eastAsia="宋体" w:cs="宋体"/>
          <w:snapToGrid w:val="0"/>
          <w:color w:val="auto"/>
          <w:kern w:val="0"/>
          <w:sz w:val="24"/>
          <w:szCs w:val="24"/>
          <w:highlight w:val="none"/>
          <w:lang w:val="en-US" w:eastAsia="zh-CN"/>
        </w:rPr>
        <w:t>总停留时间：11.2h</w:t>
      </w:r>
    </w:p>
    <w:p w14:paraId="05C06287">
      <w:pPr>
        <w:spacing w:line="360" w:lineRule="auto"/>
        <w:ind w:firstLine="480" w:firstLineChars="200"/>
        <w:jc w:val="left"/>
        <w:rPr>
          <w:rFonts w:hint="eastAsia" w:ascii="宋体" w:hAnsi="宋体" w:eastAsia="宋体" w:cs="宋体"/>
          <w:snapToGrid w:val="0"/>
          <w:color w:val="auto"/>
          <w:kern w:val="0"/>
          <w:sz w:val="24"/>
          <w:szCs w:val="24"/>
          <w:highlight w:val="none"/>
          <w:lang w:val="en-US" w:eastAsia="zh-CN"/>
        </w:rPr>
      </w:pPr>
      <w:r>
        <w:rPr>
          <w:rFonts w:hint="eastAsia" w:ascii="宋体" w:hAnsi="宋体" w:cs="宋体"/>
          <w:snapToGrid w:val="0"/>
          <w:color w:val="auto"/>
          <w:kern w:val="0"/>
          <w:sz w:val="24"/>
          <w:szCs w:val="24"/>
          <w:highlight w:val="none"/>
          <w:lang w:val="en-US" w:eastAsia="zh-CN"/>
        </w:rPr>
        <w:t>5)</w:t>
      </w:r>
      <w:r>
        <w:rPr>
          <w:rFonts w:hint="eastAsia" w:ascii="宋体" w:hAnsi="宋体" w:eastAsia="宋体" w:cs="宋体"/>
          <w:snapToGrid w:val="0"/>
          <w:color w:val="auto"/>
          <w:kern w:val="0"/>
          <w:sz w:val="24"/>
          <w:szCs w:val="24"/>
          <w:highlight w:val="none"/>
          <w:lang w:val="en-US" w:eastAsia="zh-CN"/>
        </w:rPr>
        <w:t>主要设备材料：</w:t>
      </w:r>
    </w:p>
    <w:p w14:paraId="30E6C682">
      <w:pPr>
        <w:spacing w:line="360" w:lineRule="auto"/>
        <w:ind w:firstLine="480" w:firstLineChars="200"/>
        <w:jc w:val="left"/>
        <w:rPr>
          <w:rFonts w:hint="default" w:ascii="宋体" w:hAnsi="宋体" w:eastAsia="宋体" w:cs="宋体"/>
          <w:snapToGrid w:val="0"/>
          <w:color w:val="auto"/>
          <w:kern w:val="0"/>
          <w:sz w:val="24"/>
          <w:szCs w:val="24"/>
          <w:highlight w:val="none"/>
          <w:lang w:val="en-US" w:eastAsia="zh-CN"/>
        </w:rPr>
      </w:pPr>
      <w:r>
        <w:rPr>
          <w:rFonts w:hint="eastAsia" w:ascii="宋体" w:hAnsi="宋体" w:cs="宋体"/>
          <w:snapToGrid w:val="0"/>
          <w:color w:val="auto"/>
          <w:kern w:val="0"/>
          <w:sz w:val="24"/>
          <w:szCs w:val="24"/>
          <w:highlight w:val="none"/>
          <w:lang w:val="en-US" w:eastAsia="zh-CN"/>
        </w:rPr>
        <w:t>①</w:t>
      </w:r>
      <w:r>
        <w:rPr>
          <w:rFonts w:hint="eastAsia" w:ascii="宋体" w:hAnsi="宋体" w:eastAsia="宋体" w:cs="宋体"/>
          <w:snapToGrid w:val="0"/>
          <w:color w:val="auto"/>
          <w:kern w:val="0"/>
          <w:sz w:val="24"/>
          <w:szCs w:val="24"/>
          <w:highlight w:val="none"/>
          <w:lang w:val="en-US" w:eastAsia="zh-CN"/>
        </w:rPr>
        <w:t>VFG填料及支架，曝气盘及支架等附件</w:t>
      </w:r>
      <w:r>
        <w:rPr>
          <w:rFonts w:hint="eastAsia" w:ascii="宋体" w:hAnsi="宋体" w:cs="宋体"/>
          <w:snapToGrid w:val="0"/>
          <w:color w:val="auto"/>
          <w:kern w:val="0"/>
          <w:sz w:val="24"/>
          <w:szCs w:val="24"/>
          <w:highlight w:val="none"/>
          <w:lang w:val="en-US" w:eastAsia="zh-CN"/>
        </w:rPr>
        <w:t>;</w:t>
      </w:r>
    </w:p>
    <w:p w14:paraId="6CA5F0A1">
      <w:pPr>
        <w:spacing w:line="360" w:lineRule="auto"/>
        <w:ind w:firstLine="480" w:firstLineChars="200"/>
        <w:jc w:val="left"/>
        <w:rPr>
          <w:rFonts w:hint="eastAsia" w:ascii="宋体" w:hAnsi="宋体" w:eastAsia="宋体" w:cs="宋体"/>
          <w:snapToGrid w:val="0"/>
          <w:color w:val="auto"/>
          <w:kern w:val="0"/>
          <w:sz w:val="24"/>
          <w:szCs w:val="24"/>
          <w:highlight w:val="none"/>
        </w:rPr>
      </w:pPr>
      <w:r>
        <w:rPr>
          <w:rFonts w:hint="eastAsia" w:ascii="宋体" w:hAnsi="宋体" w:cs="宋体"/>
          <w:snapToGrid w:val="0"/>
          <w:color w:val="auto"/>
          <w:kern w:val="0"/>
          <w:sz w:val="24"/>
          <w:szCs w:val="24"/>
          <w:highlight w:val="none"/>
          <w:lang w:val="en-US" w:eastAsia="zh-CN"/>
        </w:rPr>
        <w:t>②</w:t>
      </w:r>
      <w:r>
        <w:rPr>
          <w:rFonts w:hint="eastAsia" w:ascii="宋体" w:hAnsi="宋体" w:eastAsia="宋体" w:cs="宋体"/>
          <w:snapToGrid w:val="0"/>
          <w:color w:val="auto"/>
          <w:kern w:val="0"/>
          <w:sz w:val="24"/>
          <w:szCs w:val="24"/>
          <w:highlight w:val="none"/>
        </w:rPr>
        <w:t>风机：风量</w:t>
      </w:r>
      <w:r>
        <w:rPr>
          <w:rFonts w:hint="eastAsia" w:ascii="宋体" w:hAnsi="宋体" w:cs="宋体"/>
          <w:snapToGrid w:val="0"/>
          <w:color w:val="auto"/>
          <w:kern w:val="0"/>
          <w:sz w:val="24"/>
          <w:szCs w:val="24"/>
          <w:highlight w:val="none"/>
          <w:lang w:val="en-US" w:eastAsia="zh-CN"/>
        </w:rPr>
        <w:t>8</w:t>
      </w:r>
      <w:r>
        <w:rPr>
          <w:rFonts w:hint="eastAsia" w:ascii="宋体" w:hAnsi="宋体" w:eastAsia="宋体" w:cs="宋体"/>
          <w:snapToGrid w:val="0"/>
          <w:color w:val="auto"/>
          <w:kern w:val="0"/>
          <w:sz w:val="24"/>
          <w:szCs w:val="24"/>
          <w:highlight w:val="none"/>
          <w:lang w:val="en-US" w:eastAsia="zh-CN"/>
        </w:rPr>
        <w:t>0</w:t>
      </w:r>
      <w:r>
        <w:rPr>
          <w:rFonts w:hint="eastAsia" w:ascii="宋体" w:hAnsi="宋体" w:eastAsia="宋体" w:cs="宋体"/>
          <w:snapToGrid w:val="0"/>
          <w:color w:val="auto"/>
          <w:kern w:val="0"/>
          <w:sz w:val="24"/>
          <w:szCs w:val="24"/>
          <w:highlight w:val="none"/>
        </w:rPr>
        <w:t>L/min，</w:t>
      </w:r>
      <w:r>
        <w:rPr>
          <w:rFonts w:hint="eastAsia" w:ascii="宋体" w:hAnsi="宋体" w:eastAsia="宋体" w:cs="宋体"/>
          <w:snapToGrid w:val="0"/>
          <w:color w:val="auto"/>
          <w:kern w:val="0"/>
          <w:sz w:val="24"/>
          <w:szCs w:val="24"/>
          <w:highlight w:val="none"/>
          <w:lang w:val="en-US" w:eastAsia="zh-CN"/>
        </w:rPr>
        <w:t>14.7</w:t>
      </w:r>
      <w:r>
        <w:rPr>
          <w:rFonts w:hint="eastAsia" w:ascii="宋体" w:hAnsi="宋体" w:eastAsia="宋体" w:cs="宋体"/>
          <w:snapToGrid w:val="0"/>
          <w:color w:val="auto"/>
          <w:kern w:val="0"/>
          <w:sz w:val="24"/>
          <w:szCs w:val="24"/>
          <w:highlight w:val="none"/>
        </w:rPr>
        <w:t>kPa，</w:t>
      </w:r>
      <w:r>
        <w:rPr>
          <w:rFonts w:hint="eastAsia" w:ascii="宋体" w:hAnsi="宋体" w:cs="宋体"/>
          <w:snapToGrid w:val="0"/>
          <w:color w:val="auto"/>
          <w:kern w:val="0"/>
          <w:sz w:val="24"/>
          <w:szCs w:val="24"/>
          <w:highlight w:val="none"/>
          <w:lang w:val="en-US" w:eastAsia="zh-CN"/>
        </w:rPr>
        <w:t>6</w:t>
      </w:r>
      <w:r>
        <w:rPr>
          <w:rFonts w:hint="eastAsia" w:ascii="宋体" w:hAnsi="宋体" w:eastAsia="宋体" w:cs="宋体"/>
          <w:snapToGrid w:val="0"/>
          <w:color w:val="auto"/>
          <w:kern w:val="0"/>
          <w:sz w:val="24"/>
          <w:szCs w:val="24"/>
          <w:highlight w:val="none"/>
          <w:lang w:val="en-US" w:eastAsia="zh-CN"/>
        </w:rPr>
        <w:t>0</w:t>
      </w:r>
      <w:r>
        <w:rPr>
          <w:rFonts w:hint="eastAsia" w:ascii="宋体" w:hAnsi="宋体" w:eastAsia="宋体" w:cs="宋体"/>
          <w:snapToGrid w:val="0"/>
          <w:color w:val="auto"/>
          <w:kern w:val="0"/>
          <w:sz w:val="24"/>
          <w:szCs w:val="24"/>
          <w:highlight w:val="none"/>
        </w:rPr>
        <w:t>W，</w:t>
      </w:r>
      <w:r>
        <w:rPr>
          <w:rFonts w:hint="eastAsia" w:ascii="宋体" w:hAnsi="宋体" w:cs="宋体"/>
          <w:snapToGrid w:val="0"/>
          <w:color w:val="auto"/>
          <w:kern w:val="0"/>
          <w:sz w:val="24"/>
          <w:szCs w:val="24"/>
          <w:highlight w:val="none"/>
          <w:lang w:val="en-US" w:eastAsia="zh-CN"/>
        </w:rPr>
        <w:t>8</w:t>
      </w:r>
      <w:r>
        <w:rPr>
          <w:rFonts w:hint="eastAsia" w:ascii="宋体" w:hAnsi="宋体" w:eastAsia="宋体" w:cs="宋体"/>
          <w:snapToGrid w:val="0"/>
          <w:color w:val="auto"/>
          <w:kern w:val="0"/>
          <w:sz w:val="24"/>
          <w:szCs w:val="24"/>
          <w:highlight w:val="none"/>
          <w:lang w:val="en-US" w:eastAsia="zh-CN"/>
        </w:rPr>
        <w:t>台</w:t>
      </w:r>
      <w:r>
        <w:rPr>
          <w:rFonts w:hint="eastAsia" w:ascii="宋体" w:hAnsi="宋体" w:eastAsia="宋体" w:cs="宋体"/>
          <w:snapToGrid w:val="0"/>
          <w:color w:val="auto"/>
          <w:kern w:val="0"/>
          <w:sz w:val="24"/>
          <w:szCs w:val="24"/>
          <w:highlight w:val="none"/>
        </w:rPr>
        <w:t>。</w:t>
      </w:r>
    </w:p>
    <w:p w14:paraId="5E116E85">
      <w:pPr>
        <w:spacing w:line="360" w:lineRule="auto"/>
        <w:ind w:firstLine="480" w:firstLineChars="200"/>
        <w:jc w:val="left"/>
        <w:rPr>
          <w:rFonts w:hint="eastAsia" w:ascii="宋体" w:hAnsi="宋体" w:eastAsia="宋体" w:cs="宋体"/>
          <w:snapToGrid w:val="0"/>
          <w:color w:val="auto"/>
          <w:kern w:val="0"/>
          <w:sz w:val="24"/>
          <w:szCs w:val="24"/>
          <w:highlight w:val="none"/>
          <w:lang w:val="en-US" w:eastAsia="zh-CN"/>
        </w:rPr>
      </w:pPr>
      <w:r>
        <w:rPr>
          <w:rFonts w:hint="eastAsia" w:ascii="宋体" w:hAnsi="宋体" w:cs="宋体"/>
          <w:snapToGrid w:val="0"/>
          <w:color w:val="auto"/>
          <w:kern w:val="0"/>
          <w:sz w:val="24"/>
          <w:szCs w:val="24"/>
          <w:highlight w:val="none"/>
          <w:lang w:val="en-US" w:eastAsia="zh-CN"/>
        </w:rPr>
        <w:t>③</w:t>
      </w:r>
      <w:r>
        <w:rPr>
          <w:rFonts w:hint="eastAsia" w:ascii="宋体" w:hAnsi="宋体" w:eastAsia="宋体" w:cs="宋体"/>
          <w:snapToGrid w:val="0"/>
          <w:color w:val="auto"/>
          <w:kern w:val="0"/>
          <w:sz w:val="24"/>
          <w:szCs w:val="24"/>
          <w:highlight w:val="none"/>
          <w:lang w:val="en-US" w:eastAsia="zh-CN"/>
        </w:rPr>
        <w:t>详细设备参数、技术性能（以单个智水宝为</w:t>
      </w:r>
      <w:r>
        <w:rPr>
          <w:rFonts w:hint="eastAsia" w:ascii="宋体" w:hAnsi="宋体" w:cs="宋体"/>
          <w:snapToGrid w:val="0"/>
          <w:color w:val="auto"/>
          <w:kern w:val="0"/>
          <w:sz w:val="24"/>
          <w:szCs w:val="24"/>
          <w:highlight w:val="none"/>
          <w:lang w:val="en-US" w:eastAsia="zh-CN"/>
        </w:rPr>
        <w:t>例</w:t>
      </w:r>
      <w:r>
        <w:rPr>
          <w:rFonts w:hint="eastAsia" w:ascii="宋体" w:hAnsi="宋体" w:eastAsia="宋体" w:cs="宋体"/>
          <w:snapToGrid w:val="0"/>
          <w:color w:val="auto"/>
          <w:kern w:val="0"/>
          <w:sz w:val="24"/>
          <w:szCs w:val="24"/>
          <w:highlight w:val="none"/>
          <w:lang w:val="en-US" w:eastAsia="zh-CN"/>
        </w:rPr>
        <w:t>）：</w:t>
      </w:r>
    </w:p>
    <w:p w14:paraId="07DE97D8">
      <w:pPr>
        <w:spacing w:line="360" w:lineRule="auto"/>
        <w:ind w:firstLine="480" w:firstLineChars="200"/>
        <w:jc w:val="left"/>
        <w:rPr>
          <w:rFonts w:hint="eastAsia" w:ascii="宋体" w:hAnsi="宋体" w:eastAsia="宋体" w:cs="宋体"/>
          <w:snapToGrid w:val="0"/>
          <w:color w:val="auto"/>
          <w:kern w:val="0"/>
          <w:sz w:val="24"/>
          <w:szCs w:val="24"/>
          <w:highlight w:val="none"/>
          <w:lang w:val="en-US" w:eastAsia="zh-CN"/>
        </w:rPr>
      </w:pPr>
      <w:r>
        <w:rPr>
          <w:rFonts w:hint="eastAsia" w:ascii="宋体" w:hAnsi="宋体" w:eastAsia="宋体" w:cs="宋体"/>
          <w:snapToGrid w:val="0"/>
          <w:color w:val="auto"/>
          <w:kern w:val="0"/>
          <w:sz w:val="24"/>
          <w:szCs w:val="24"/>
          <w:highlight w:val="none"/>
          <w:lang w:val="en-US" w:eastAsia="zh-CN"/>
        </w:rPr>
        <w:t>安装方式：地埋式；</w:t>
      </w:r>
    </w:p>
    <w:p w14:paraId="339642DA">
      <w:pPr>
        <w:spacing w:line="360" w:lineRule="auto"/>
        <w:ind w:firstLine="480" w:firstLineChars="200"/>
        <w:jc w:val="left"/>
        <w:rPr>
          <w:rFonts w:hint="eastAsia" w:ascii="宋体" w:hAnsi="宋体" w:eastAsia="宋体" w:cs="宋体"/>
          <w:snapToGrid w:val="0"/>
          <w:color w:val="auto"/>
          <w:kern w:val="0"/>
          <w:sz w:val="24"/>
          <w:szCs w:val="24"/>
          <w:highlight w:val="none"/>
          <w:lang w:val="en-US" w:eastAsia="zh-CN"/>
        </w:rPr>
      </w:pPr>
      <w:r>
        <w:rPr>
          <w:rFonts w:hint="eastAsia" w:ascii="宋体" w:hAnsi="宋体" w:eastAsia="宋体" w:cs="宋体"/>
          <w:snapToGrid w:val="0"/>
          <w:color w:val="auto"/>
          <w:kern w:val="0"/>
          <w:sz w:val="24"/>
          <w:szCs w:val="24"/>
          <w:highlight w:val="none"/>
          <w:lang w:val="en-US" w:eastAsia="zh-CN"/>
        </w:rPr>
        <w:t>COD处理负荷不小于3kg COD/m</w:t>
      </w:r>
      <w:r>
        <w:rPr>
          <w:rFonts w:hint="eastAsia" w:ascii="宋体" w:hAnsi="宋体" w:eastAsia="宋体" w:cs="宋体"/>
          <w:snapToGrid w:val="0"/>
          <w:color w:val="auto"/>
          <w:kern w:val="0"/>
          <w:sz w:val="24"/>
          <w:szCs w:val="24"/>
          <w:highlight w:val="none"/>
          <w:vertAlign w:val="superscript"/>
          <w:lang w:val="en-US" w:eastAsia="zh-CN"/>
        </w:rPr>
        <w:t>3</w:t>
      </w:r>
      <w:r>
        <w:rPr>
          <w:rFonts w:hint="eastAsia" w:ascii="宋体" w:hAnsi="宋体" w:eastAsia="宋体" w:cs="宋体"/>
          <w:snapToGrid w:val="0"/>
          <w:color w:val="auto"/>
          <w:kern w:val="0"/>
          <w:sz w:val="24"/>
          <w:szCs w:val="24"/>
          <w:highlight w:val="none"/>
          <w:lang w:val="en-US" w:eastAsia="zh-CN"/>
        </w:rPr>
        <w:t>d，最大日处理量不低于10m</w:t>
      </w:r>
      <w:r>
        <w:rPr>
          <w:rFonts w:hint="eastAsia" w:ascii="宋体" w:hAnsi="宋体" w:eastAsia="宋体" w:cs="宋体"/>
          <w:snapToGrid w:val="0"/>
          <w:color w:val="auto"/>
          <w:kern w:val="0"/>
          <w:sz w:val="24"/>
          <w:szCs w:val="24"/>
          <w:highlight w:val="none"/>
          <w:vertAlign w:val="superscript"/>
          <w:lang w:val="en-US" w:eastAsia="zh-CN"/>
        </w:rPr>
        <w:t>3</w:t>
      </w:r>
      <w:r>
        <w:rPr>
          <w:rFonts w:hint="eastAsia" w:ascii="宋体" w:hAnsi="宋体" w:eastAsia="宋体" w:cs="宋体"/>
          <w:snapToGrid w:val="0"/>
          <w:color w:val="auto"/>
          <w:kern w:val="0"/>
          <w:sz w:val="24"/>
          <w:szCs w:val="24"/>
          <w:highlight w:val="none"/>
          <w:lang w:val="en-US" w:eastAsia="zh-CN"/>
        </w:rPr>
        <w:t>/d。</w:t>
      </w:r>
    </w:p>
    <w:p w14:paraId="370708AA">
      <w:pPr>
        <w:spacing w:line="360" w:lineRule="auto"/>
        <w:ind w:firstLine="480" w:firstLineChars="200"/>
        <w:jc w:val="left"/>
        <w:rPr>
          <w:rFonts w:hint="eastAsia" w:ascii="宋体" w:hAnsi="宋体" w:eastAsia="宋体" w:cs="宋体"/>
          <w:snapToGrid w:val="0"/>
          <w:color w:val="auto"/>
          <w:kern w:val="0"/>
          <w:sz w:val="24"/>
          <w:szCs w:val="24"/>
          <w:highlight w:val="none"/>
          <w:lang w:val="en-US" w:eastAsia="zh-CN"/>
        </w:rPr>
      </w:pPr>
      <w:r>
        <w:rPr>
          <w:rFonts w:hint="eastAsia" w:ascii="宋体" w:hAnsi="宋体" w:eastAsia="宋体" w:cs="宋体"/>
          <w:snapToGrid w:val="0"/>
          <w:color w:val="auto"/>
          <w:kern w:val="0"/>
          <w:sz w:val="24"/>
          <w:szCs w:val="24"/>
          <w:highlight w:val="none"/>
          <w:lang w:val="en-US" w:eastAsia="zh-CN"/>
        </w:rPr>
        <w:t>设备采用竖罐，直径1820mm，高度2500mm，容积5m3，为满足不同的埋深，配备检修口直径800mm，高度分别为300mm、480mm和1100mm的加高检修口，上述误差控制在±2%内；</w:t>
      </w:r>
    </w:p>
    <w:p w14:paraId="2B82250E">
      <w:pPr>
        <w:spacing w:line="360" w:lineRule="auto"/>
        <w:ind w:firstLine="480" w:firstLineChars="200"/>
        <w:jc w:val="left"/>
        <w:rPr>
          <w:rFonts w:hint="eastAsia" w:ascii="宋体" w:hAnsi="宋体" w:eastAsia="宋体" w:cs="宋体"/>
          <w:snapToGrid w:val="0"/>
          <w:color w:val="auto"/>
          <w:kern w:val="0"/>
          <w:sz w:val="24"/>
          <w:szCs w:val="24"/>
          <w:highlight w:val="none"/>
          <w:lang w:val="en-US" w:eastAsia="zh-CN"/>
        </w:rPr>
      </w:pPr>
      <w:r>
        <w:rPr>
          <w:rFonts w:hint="eastAsia" w:ascii="宋体" w:hAnsi="宋体" w:eastAsia="宋体" w:cs="宋体"/>
          <w:snapToGrid w:val="0"/>
          <w:color w:val="auto"/>
          <w:kern w:val="0"/>
          <w:sz w:val="24"/>
          <w:szCs w:val="24"/>
          <w:highlight w:val="none"/>
          <w:lang w:val="en-US" w:eastAsia="zh-CN"/>
        </w:rPr>
        <w:t>为确保强度，桶体加强筋包括8道立筋，6道横筋，顶上具有16道筋，与桶体一体成型。</w:t>
      </w:r>
    </w:p>
    <w:p w14:paraId="59AEBF54">
      <w:pPr>
        <w:spacing w:line="360" w:lineRule="auto"/>
        <w:ind w:firstLine="480" w:firstLineChars="200"/>
        <w:jc w:val="left"/>
        <w:rPr>
          <w:rFonts w:hint="eastAsia" w:ascii="宋体" w:hAnsi="宋体" w:eastAsia="宋体" w:cs="宋体"/>
          <w:snapToGrid w:val="0"/>
          <w:color w:val="auto"/>
          <w:kern w:val="0"/>
          <w:sz w:val="24"/>
          <w:szCs w:val="24"/>
          <w:highlight w:val="none"/>
          <w:lang w:val="en-US" w:eastAsia="zh-CN"/>
        </w:rPr>
      </w:pPr>
      <w:r>
        <w:rPr>
          <w:rFonts w:hint="eastAsia" w:ascii="宋体" w:hAnsi="宋体" w:cs="宋体"/>
          <w:snapToGrid w:val="0"/>
          <w:color w:val="auto"/>
          <w:kern w:val="0"/>
          <w:sz w:val="24"/>
          <w:szCs w:val="24"/>
          <w:highlight w:val="none"/>
          <w:lang w:val="en-US" w:eastAsia="zh-CN"/>
        </w:rPr>
        <w:t>6)</w:t>
      </w:r>
      <w:r>
        <w:rPr>
          <w:rFonts w:hint="eastAsia" w:ascii="宋体" w:hAnsi="宋体" w:eastAsia="宋体" w:cs="宋体"/>
          <w:snapToGrid w:val="0"/>
          <w:color w:val="auto"/>
          <w:kern w:val="0"/>
          <w:sz w:val="24"/>
          <w:szCs w:val="24"/>
          <w:highlight w:val="none"/>
          <w:lang w:val="en-US" w:eastAsia="zh-CN"/>
        </w:rPr>
        <w:t>固定床生物膜工艺</w:t>
      </w:r>
    </w:p>
    <w:p w14:paraId="764DA60B">
      <w:pPr>
        <w:spacing w:line="360" w:lineRule="auto"/>
        <w:ind w:firstLine="480" w:firstLineChars="200"/>
        <w:jc w:val="left"/>
        <w:rPr>
          <w:rFonts w:hint="eastAsia" w:ascii="宋体" w:hAnsi="宋体" w:eastAsia="宋体" w:cs="宋体"/>
          <w:snapToGrid w:val="0"/>
          <w:color w:val="auto"/>
          <w:kern w:val="0"/>
          <w:sz w:val="24"/>
          <w:szCs w:val="24"/>
          <w:highlight w:val="none"/>
          <w:lang w:val="en-US" w:eastAsia="zh-CN"/>
        </w:rPr>
      </w:pPr>
      <w:r>
        <w:rPr>
          <w:rFonts w:hint="eastAsia" w:ascii="宋体" w:hAnsi="宋体" w:cs="宋体"/>
          <w:snapToGrid w:val="0"/>
          <w:color w:val="auto"/>
          <w:kern w:val="0"/>
          <w:sz w:val="24"/>
          <w:szCs w:val="24"/>
          <w:highlight w:val="none"/>
          <w:lang w:val="en-US" w:eastAsia="zh-CN"/>
        </w:rPr>
        <w:t>①</w:t>
      </w:r>
      <w:r>
        <w:rPr>
          <w:rFonts w:hint="eastAsia" w:ascii="宋体" w:hAnsi="宋体" w:eastAsia="宋体" w:cs="宋体"/>
          <w:snapToGrid w:val="0"/>
          <w:color w:val="auto"/>
          <w:kern w:val="0"/>
          <w:sz w:val="24"/>
          <w:szCs w:val="24"/>
          <w:highlight w:val="none"/>
          <w:lang w:val="en-US" w:eastAsia="zh-CN"/>
        </w:rPr>
        <w:t>固定床生物膜工艺内的填料（FBBR填料）以固定状态填充于生物反应器内，填料填充体积占反应器总体积超过80%。</w:t>
      </w:r>
    </w:p>
    <w:p w14:paraId="0067E45E">
      <w:pPr>
        <w:spacing w:line="360" w:lineRule="auto"/>
        <w:ind w:firstLine="480" w:firstLineChars="200"/>
        <w:jc w:val="left"/>
        <w:rPr>
          <w:rFonts w:hint="eastAsia" w:ascii="宋体" w:hAnsi="宋体" w:eastAsia="宋体" w:cs="宋体"/>
          <w:snapToGrid w:val="0"/>
          <w:color w:val="auto"/>
          <w:kern w:val="0"/>
          <w:sz w:val="24"/>
          <w:szCs w:val="24"/>
          <w:highlight w:val="none"/>
          <w:lang w:val="en-US" w:eastAsia="zh-CN"/>
        </w:rPr>
      </w:pPr>
      <w:r>
        <w:rPr>
          <w:rFonts w:hint="eastAsia" w:ascii="宋体" w:hAnsi="宋体" w:cs="宋体"/>
          <w:snapToGrid w:val="0"/>
          <w:color w:val="auto"/>
          <w:kern w:val="0"/>
          <w:sz w:val="24"/>
          <w:szCs w:val="24"/>
          <w:highlight w:val="none"/>
          <w:lang w:val="en-US" w:eastAsia="zh-CN"/>
        </w:rPr>
        <w:t>②</w:t>
      </w:r>
      <w:r>
        <w:rPr>
          <w:rFonts w:hint="eastAsia" w:ascii="宋体" w:hAnsi="宋体" w:eastAsia="宋体" w:cs="宋体"/>
          <w:snapToGrid w:val="0"/>
          <w:color w:val="auto"/>
          <w:kern w:val="0"/>
          <w:sz w:val="24"/>
          <w:szCs w:val="24"/>
          <w:highlight w:val="none"/>
          <w:lang w:val="en-US" w:eastAsia="zh-CN"/>
        </w:rPr>
        <w:t>FBBR填料由多块波纹板片螺杆串装而成的弯曲导流规整填料；每块波纹板片粘接后每层填料顶部/底部构成菱形孔隙，中部如漏斗般逐渐收缩；层与层之间交叉叠放，使得菱形管腔通道中心竖直对着下一层通道的交叉点。</w:t>
      </w:r>
    </w:p>
    <w:p w14:paraId="47808B31">
      <w:pPr>
        <w:spacing w:line="360" w:lineRule="auto"/>
        <w:ind w:firstLine="480" w:firstLineChars="200"/>
        <w:jc w:val="left"/>
        <w:rPr>
          <w:rFonts w:hint="eastAsia" w:ascii="宋体" w:hAnsi="宋体" w:eastAsia="宋体" w:cs="宋体"/>
          <w:snapToGrid w:val="0"/>
          <w:color w:val="auto"/>
          <w:kern w:val="0"/>
          <w:sz w:val="24"/>
          <w:szCs w:val="24"/>
          <w:highlight w:val="none"/>
          <w:lang w:val="en-US" w:eastAsia="zh-CN"/>
        </w:rPr>
      </w:pPr>
      <w:r>
        <w:rPr>
          <w:rFonts w:hint="eastAsia" w:ascii="宋体" w:hAnsi="宋体" w:cs="宋体"/>
          <w:snapToGrid w:val="0"/>
          <w:color w:val="auto"/>
          <w:kern w:val="0"/>
          <w:sz w:val="24"/>
          <w:szCs w:val="24"/>
          <w:highlight w:val="none"/>
          <w:lang w:val="en-US" w:eastAsia="zh-CN"/>
        </w:rPr>
        <w:t>③</w:t>
      </w:r>
      <w:r>
        <w:rPr>
          <w:rFonts w:hint="eastAsia" w:ascii="宋体" w:hAnsi="宋体" w:eastAsia="宋体" w:cs="宋体"/>
          <w:snapToGrid w:val="0"/>
          <w:color w:val="auto"/>
          <w:kern w:val="0"/>
          <w:sz w:val="24"/>
          <w:szCs w:val="24"/>
          <w:highlight w:val="none"/>
          <w:lang w:val="en-US" w:eastAsia="zh-CN"/>
        </w:rPr>
        <w:t>填料材质为PVC。</w:t>
      </w:r>
    </w:p>
    <w:p w14:paraId="700C8881">
      <w:pPr>
        <w:spacing w:line="360" w:lineRule="auto"/>
        <w:ind w:firstLine="480" w:firstLineChars="200"/>
        <w:jc w:val="left"/>
        <w:rPr>
          <w:rFonts w:hint="eastAsia" w:ascii="宋体" w:hAnsi="宋体" w:eastAsia="宋体" w:cs="宋体"/>
          <w:snapToGrid w:val="0"/>
          <w:color w:val="auto"/>
          <w:kern w:val="0"/>
          <w:sz w:val="24"/>
          <w:szCs w:val="24"/>
          <w:highlight w:val="none"/>
          <w:lang w:val="en-US" w:eastAsia="zh-CN"/>
        </w:rPr>
      </w:pPr>
      <w:r>
        <w:rPr>
          <w:rFonts w:hint="eastAsia" w:ascii="宋体" w:hAnsi="宋体" w:cs="宋体"/>
          <w:snapToGrid w:val="0"/>
          <w:color w:val="auto"/>
          <w:kern w:val="0"/>
          <w:sz w:val="24"/>
          <w:szCs w:val="24"/>
          <w:highlight w:val="none"/>
          <w:lang w:val="en-US" w:eastAsia="zh-CN"/>
        </w:rPr>
        <w:t>④</w:t>
      </w:r>
      <w:r>
        <w:rPr>
          <w:rFonts w:hint="eastAsia" w:ascii="宋体" w:hAnsi="宋体" w:eastAsia="宋体" w:cs="宋体"/>
          <w:snapToGrid w:val="0"/>
          <w:color w:val="auto"/>
          <w:kern w:val="0"/>
          <w:sz w:val="24"/>
          <w:szCs w:val="24"/>
          <w:highlight w:val="none"/>
          <w:lang w:val="en-US" w:eastAsia="zh-CN"/>
        </w:rPr>
        <w:t>单块FBBR填料尺寸长度1200mm，宽度600mm，高度100mm，误差控制在±2%内。</w:t>
      </w:r>
    </w:p>
    <w:p w14:paraId="282671CC">
      <w:pPr>
        <w:spacing w:line="360" w:lineRule="auto"/>
        <w:ind w:firstLine="480" w:firstLineChars="200"/>
        <w:jc w:val="left"/>
        <w:rPr>
          <w:rFonts w:hint="eastAsia" w:ascii="宋体" w:hAnsi="宋体" w:eastAsia="宋体" w:cs="宋体"/>
          <w:snapToGrid w:val="0"/>
          <w:color w:val="auto"/>
          <w:kern w:val="0"/>
          <w:sz w:val="24"/>
          <w:szCs w:val="24"/>
          <w:highlight w:val="none"/>
          <w:lang w:val="en-US" w:eastAsia="zh-CN"/>
        </w:rPr>
      </w:pPr>
      <w:r>
        <w:rPr>
          <w:rFonts w:hint="eastAsia" w:ascii="宋体" w:hAnsi="宋体" w:cs="宋体"/>
          <w:snapToGrid w:val="0"/>
          <w:color w:val="auto"/>
          <w:kern w:val="0"/>
          <w:sz w:val="24"/>
          <w:szCs w:val="24"/>
          <w:highlight w:val="none"/>
          <w:lang w:val="en-US" w:eastAsia="zh-CN"/>
        </w:rPr>
        <w:t>⑤</w:t>
      </w:r>
      <w:r>
        <w:rPr>
          <w:rFonts w:hint="eastAsia" w:ascii="宋体" w:hAnsi="宋体" w:eastAsia="宋体" w:cs="宋体"/>
          <w:snapToGrid w:val="0"/>
          <w:color w:val="auto"/>
          <w:kern w:val="0"/>
          <w:sz w:val="24"/>
          <w:szCs w:val="24"/>
          <w:highlight w:val="none"/>
          <w:lang w:val="en-US" w:eastAsia="zh-CN"/>
        </w:rPr>
        <w:t>95%以上的微生物以附着形式生长，调试时无需投加活性污泥。</w:t>
      </w:r>
    </w:p>
    <w:p w14:paraId="44E1DC53">
      <w:pPr>
        <w:spacing w:line="360" w:lineRule="auto"/>
        <w:ind w:firstLine="480" w:firstLineChars="200"/>
        <w:jc w:val="left"/>
        <w:rPr>
          <w:rFonts w:hint="eastAsia" w:ascii="宋体" w:hAnsi="宋体" w:eastAsia="宋体" w:cs="宋体"/>
          <w:snapToGrid w:val="0"/>
          <w:color w:val="auto"/>
          <w:kern w:val="0"/>
          <w:sz w:val="24"/>
          <w:szCs w:val="24"/>
          <w:highlight w:val="none"/>
          <w:lang w:val="en-US" w:eastAsia="zh-CN"/>
        </w:rPr>
      </w:pPr>
      <w:r>
        <w:rPr>
          <w:rFonts w:hint="eastAsia" w:ascii="宋体" w:hAnsi="宋体" w:cs="宋体"/>
          <w:snapToGrid w:val="0"/>
          <w:color w:val="auto"/>
          <w:kern w:val="0"/>
          <w:sz w:val="24"/>
          <w:szCs w:val="24"/>
          <w:highlight w:val="none"/>
          <w:lang w:val="en-US" w:eastAsia="zh-CN"/>
        </w:rPr>
        <w:t>⑥</w:t>
      </w:r>
      <w:r>
        <w:rPr>
          <w:rFonts w:hint="eastAsia" w:ascii="宋体" w:hAnsi="宋体" w:eastAsia="宋体" w:cs="宋体"/>
          <w:snapToGrid w:val="0"/>
          <w:color w:val="auto"/>
          <w:kern w:val="0"/>
          <w:sz w:val="24"/>
          <w:szCs w:val="24"/>
          <w:highlight w:val="none"/>
          <w:lang w:val="en-US" w:eastAsia="zh-CN"/>
        </w:rPr>
        <w:t>采用间歇曝气和精确曝气方式，根据溶解氧上下限控制曝气量</w:t>
      </w:r>
      <w:r>
        <w:rPr>
          <w:rFonts w:hint="eastAsia" w:ascii="宋体" w:hAnsi="宋体" w:cs="宋体"/>
          <w:snapToGrid w:val="0"/>
          <w:color w:val="auto"/>
          <w:kern w:val="0"/>
          <w:sz w:val="24"/>
          <w:szCs w:val="24"/>
          <w:highlight w:val="none"/>
          <w:lang w:val="en-US" w:eastAsia="zh-CN"/>
        </w:rPr>
        <w:t>。</w:t>
      </w:r>
    </w:p>
    <w:p w14:paraId="29B91656">
      <w:pPr>
        <w:spacing w:line="360" w:lineRule="auto"/>
        <w:ind w:firstLine="480" w:firstLineChars="200"/>
        <w:jc w:val="left"/>
        <w:rPr>
          <w:rFonts w:hint="eastAsia" w:ascii="宋体" w:hAnsi="宋体" w:eastAsia="宋体" w:cs="宋体"/>
          <w:snapToGrid w:val="0"/>
          <w:color w:val="auto"/>
          <w:kern w:val="0"/>
          <w:sz w:val="24"/>
          <w:szCs w:val="24"/>
          <w:highlight w:val="none"/>
          <w:lang w:val="en-US" w:eastAsia="zh-CN"/>
        </w:rPr>
      </w:pPr>
      <w:r>
        <w:rPr>
          <w:rFonts w:hint="eastAsia" w:ascii="宋体" w:hAnsi="宋体" w:eastAsia="宋体" w:cs="宋体"/>
          <w:snapToGrid w:val="0"/>
          <w:color w:val="auto"/>
          <w:kern w:val="0"/>
          <w:sz w:val="24"/>
          <w:szCs w:val="24"/>
          <w:highlight w:val="none"/>
          <w:lang w:val="en-US" w:eastAsia="zh-CN"/>
        </w:rPr>
        <w:t>好氧池间歇曝气的方式可实现同步硝化反硝化过程，无需二沉池、内回流泵和外回流泵。</w:t>
      </w:r>
    </w:p>
    <w:p w14:paraId="4A3228B5">
      <w:pPr>
        <w:spacing w:line="360" w:lineRule="auto"/>
        <w:ind w:firstLine="480" w:firstLineChars="200"/>
        <w:jc w:val="left"/>
        <w:rPr>
          <w:rFonts w:hint="eastAsia" w:ascii="宋体" w:hAnsi="宋体" w:eastAsia="宋体" w:cs="宋体"/>
          <w:snapToGrid w:val="0"/>
          <w:color w:val="auto"/>
          <w:kern w:val="0"/>
          <w:sz w:val="24"/>
          <w:szCs w:val="24"/>
          <w:highlight w:val="none"/>
          <w:lang w:val="en-US" w:eastAsia="zh-CN"/>
        </w:rPr>
      </w:pPr>
      <w:r>
        <w:rPr>
          <w:rFonts w:hint="eastAsia" w:ascii="宋体" w:hAnsi="宋体" w:eastAsia="宋体" w:cs="宋体"/>
          <w:snapToGrid w:val="0"/>
          <w:color w:val="auto"/>
          <w:kern w:val="0"/>
          <w:sz w:val="24"/>
          <w:szCs w:val="24"/>
          <w:highlight w:val="none"/>
          <w:lang w:val="en-US" w:eastAsia="zh-CN"/>
        </w:rPr>
        <w:t>采用微孔曝气管，气孔密度大于2500个/m，气泡直径1±0.1mm（池底），标准氧转移效率大于40%，标准氧转移速率大于等于0.5kg/h，理论动力效率大于等于5kg/kw.h，服务面积0.2~0.4m2，阻力损失小于2500Pa，壁厚0.4~0.5mm，带自清洗功能，支持不停产更换，使用寿命大于10年</w:t>
      </w:r>
      <w:r>
        <w:rPr>
          <w:rFonts w:hint="eastAsia" w:ascii="宋体" w:hAnsi="宋体" w:cs="宋体"/>
          <w:snapToGrid w:val="0"/>
          <w:color w:val="auto"/>
          <w:kern w:val="0"/>
          <w:sz w:val="24"/>
          <w:szCs w:val="24"/>
          <w:highlight w:val="none"/>
          <w:lang w:val="en-US" w:eastAsia="zh-CN"/>
        </w:rPr>
        <w:t>，</w:t>
      </w:r>
      <w:r>
        <w:rPr>
          <w:rFonts w:hint="eastAsia" w:ascii="宋体" w:hAnsi="宋体" w:eastAsia="宋体" w:cs="宋体"/>
          <w:snapToGrid w:val="0"/>
          <w:color w:val="auto"/>
          <w:kern w:val="0"/>
          <w:sz w:val="24"/>
          <w:szCs w:val="24"/>
          <w:highlight w:val="none"/>
          <w:lang w:val="en-US" w:eastAsia="zh-CN"/>
        </w:rPr>
        <w:t>能长期维持曝气的均匀性和较高的氧利用率（大于40%）。</w:t>
      </w:r>
    </w:p>
    <w:p w14:paraId="5F893623">
      <w:pPr>
        <w:spacing w:line="360" w:lineRule="auto"/>
        <w:ind w:firstLine="480" w:firstLineChars="200"/>
        <w:jc w:val="left"/>
        <w:rPr>
          <w:rFonts w:hint="eastAsia" w:ascii="宋体" w:hAnsi="宋体" w:eastAsia="宋体" w:cs="宋体"/>
          <w:snapToGrid w:val="0"/>
          <w:color w:val="auto"/>
          <w:kern w:val="0"/>
          <w:sz w:val="24"/>
          <w:szCs w:val="24"/>
          <w:highlight w:val="none"/>
          <w:lang w:val="en-US" w:eastAsia="zh-CN"/>
        </w:rPr>
      </w:pPr>
      <w:r>
        <w:rPr>
          <w:rFonts w:hint="eastAsia" w:ascii="宋体" w:hAnsi="宋体" w:cs="宋体"/>
          <w:snapToGrid w:val="0"/>
          <w:color w:val="auto"/>
          <w:kern w:val="0"/>
          <w:sz w:val="24"/>
          <w:szCs w:val="24"/>
          <w:highlight w:val="none"/>
          <w:lang w:val="en-US" w:eastAsia="zh-CN"/>
        </w:rPr>
        <w:t>⑦</w:t>
      </w:r>
      <w:r>
        <w:rPr>
          <w:rFonts w:hint="eastAsia" w:ascii="宋体" w:hAnsi="宋体" w:eastAsia="宋体" w:cs="宋体"/>
          <w:snapToGrid w:val="0"/>
          <w:color w:val="auto"/>
          <w:kern w:val="0"/>
          <w:sz w:val="24"/>
          <w:szCs w:val="24"/>
          <w:highlight w:val="none"/>
          <w:lang w:val="en-US" w:eastAsia="zh-CN"/>
        </w:rPr>
        <w:t>保证出水水质主要指标达到广西壮族自治区《农村生活污水处理设施水污染物排放标准》（DB45</w:t>
      </w:r>
      <w:r>
        <w:rPr>
          <w:rFonts w:hint="eastAsia" w:ascii="宋体" w:hAnsi="宋体" w:cs="宋体"/>
          <w:snapToGrid w:val="0"/>
          <w:color w:val="auto"/>
          <w:kern w:val="0"/>
          <w:sz w:val="24"/>
          <w:szCs w:val="24"/>
          <w:highlight w:val="none"/>
          <w:lang w:val="en-US" w:eastAsia="zh-CN"/>
        </w:rPr>
        <w:t>/</w:t>
      </w:r>
      <w:r>
        <w:rPr>
          <w:rFonts w:hint="eastAsia" w:ascii="宋体" w:hAnsi="宋体" w:eastAsia="宋体" w:cs="宋体"/>
          <w:snapToGrid w:val="0"/>
          <w:color w:val="auto"/>
          <w:kern w:val="0"/>
          <w:sz w:val="24"/>
          <w:szCs w:val="24"/>
          <w:highlight w:val="none"/>
          <w:lang w:val="en-US" w:eastAsia="zh-CN"/>
        </w:rPr>
        <w:t>2413-2021）中的一级标准。</w:t>
      </w:r>
    </w:p>
    <w:p w14:paraId="79DB27F1">
      <w:pPr>
        <w:spacing w:line="360" w:lineRule="auto"/>
        <w:ind w:firstLine="480" w:firstLineChars="200"/>
        <w:jc w:val="left"/>
        <w:rPr>
          <w:rFonts w:hint="eastAsia" w:ascii="宋体" w:hAnsi="宋体" w:eastAsia="宋体" w:cs="宋体"/>
          <w:snapToGrid w:val="0"/>
          <w:color w:val="auto"/>
          <w:kern w:val="0"/>
          <w:sz w:val="24"/>
          <w:szCs w:val="24"/>
          <w:highlight w:val="none"/>
          <w:lang w:val="en-US" w:eastAsia="zh-CN"/>
        </w:rPr>
      </w:pPr>
      <w:r>
        <w:rPr>
          <w:rFonts w:hint="eastAsia" w:ascii="宋体" w:hAnsi="宋体" w:cs="宋体"/>
          <w:snapToGrid w:val="0"/>
          <w:color w:val="auto"/>
          <w:kern w:val="0"/>
          <w:sz w:val="24"/>
          <w:szCs w:val="24"/>
          <w:highlight w:val="none"/>
          <w:lang w:val="en-US" w:eastAsia="zh-CN"/>
        </w:rPr>
        <w:t>⑧</w:t>
      </w:r>
      <w:r>
        <w:rPr>
          <w:rFonts w:hint="eastAsia" w:ascii="宋体" w:hAnsi="宋体" w:eastAsia="宋体" w:cs="宋体"/>
          <w:snapToGrid w:val="0"/>
          <w:color w:val="auto"/>
          <w:kern w:val="0"/>
          <w:sz w:val="24"/>
          <w:szCs w:val="24"/>
          <w:highlight w:val="none"/>
          <w:lang w:val="en-US" w:eastAsia="zh-CN"/>
        </w:rPr>
        <w:t>保证桶体的质量，生产材质为线性低密度聚乙烯</w:t>
      </w:r>
      <w:r>
        <w:rPr>
          <w:rFonts w:hint="eastAsia" w:ascii="宋体" w:hAnsi="宋体" w:cs="宋体"/>
          <w:snapToGrid w:val="0"/>
          <w:color w:val="auto"/>
          <w:kern w:val="0"/>
          <w:sz w:val="24"/>
          <w:szCs w:val="24"/>
          <w:highlight w:val="none"/>
          <w:lang w:val="en-US" w:eastAsia="zh-CN"/>
        </w:rPr>
        <w:t>，</w:t>
      </w:r>
      <w:r>
        <w:rPr>
          <w:rFonts w:hint="eastAsia" w:ascii="宋体" w:hAnsi="宋体" w:eastAsia="宋体" w:cs="宋体"/>
          <w:snapToGrid w:val="0"/>
          <w:color w:val="auto"/>
          <w:kern w:val="0"/>
          <w:sz w:val="24"/>
          <w:szCs w:val="24"/>
          <w:highlight w:val="none"/>
          <w:lang w:val="en-US" w:eastAsia="zh-CN"/>
        </w:rPr>
        <w:t>生产工艺为滚塑PE。</w:t>
      </w:r>
    </w:p>
    <w:p w14:paraId="07B1A3EC">
      <w:pPr>
        <w:spacing w:line="360" w:lineRule="auto"/>
        <w:ind w:firstLine="482" w:firstLineChars="200"/>
        <w:jc w:val="left"/>
        <w:rPr>
          <w:rFonts w:hint="eastAsia" w:ascii="宋体" w:hAnsi="宋体" w:eastAsia="宋体" w:cs="宋体"/>
          <w:b/>
          <w:bCs/>
          <w:snapToGrid w:val="0"/>
          <w:color w:val="auto"/>
          <w:kern w:val="0"/>
          <w:sz w:val="24"/>
          <w:szCs w:val="24"/>
          <w:highlight w:val="none"/>
          <w:lang w:val="en-US" w:eastAsia="zh-CN"/>
        </w:rPr>
      </w:pPr>
      <w:r>
        <w:rPr>
          <w:rFonts w:hint="eastAsia" w:ascii="宋体" w:hAnsi="宋体" w:cs="宋体"/>
          <w:b/>
          <w:bCs/>
          <w:snapToGrid w:val="0"/>
          <w:color w:val="auto"/>
          <w:kern w:val="0"/>
          <w:sz w:val="24"/>
          <w:szCs w:val="24"/>
          <w:highlight w:val="none"/>
          <w:lang w:val="en-US" w:eastAsia="zh-CN"/>
        </w:rPr>
        <w:t>（3）</w:t>
      </w:r>
      <w:r>
        <w:rPr>
          <w:rFonts w:hint="eastAsia" w:ascii="宋体" w:hAnsi="宋体" w:eastAsia="宋体" w:cs="宋体"/>
          <w:b/>
          <w:bCs/>
          <w:snapToGrid w:val="0"/>
          <w:color w:val="auto"/>
          <w:kern w:val="0"/>
          <w:sz w:val="24"/>
          <w:szCs w:val="24"/>
          <w:highlight w:val="none"/>
          <w:lang w:val="en-US" w:eastAsia="zh-CN"/>
        </w:rPr>
        <w:t>回用水池</w:t>
      </w:r>
    </w:p>
    <w:p w14:paraId="11C7F425">
      <w:pPr>
        <w:spacing w:line="360" w:lineRule="auto"/>
        <w:ind w:firstLine="480" w:firstLineChars="200"/>
        <w:jc w:val="left"/>
        <w:rPr>
          <w:rFonts w:hint="eastAsia" w:ascii="宋体" w:hAnsi="宋体" w:eastAsia="宋体" w:cs="宋体"/>
          <w:snapToGrid w:val="0"/>
          <w:color w:val="auto"/>
          <w:kern w:val="0"/>
          <w:sz w:val="24"/>
          <w:szCs w:val="24"/>
        </w:rPr>
      </w:pPr>
      <w:r>
        <w:rPr>
          <w:rFonts w:hint="eastAsia" w:ascii="宋体" w:hAnsi="宋体" w:eastAsia="宋体" w:cs="宋体"/>
          <w:snapToGrid w:val="0"/>
          <w:color w:val="auto"/>
          <w:kern w:val="0"/>
          <w:sz w:val="24"/>
          <w:szCs w:val="24"/>
          <w:highlight w:val="none"/>
        </w:rPr>
        <w:t>设计功能：</w:t>
      </w:r>
      <w:r>
        <w:rPr>
          <w:rFonts w:hint="eastAsia" w:ascii="宋体" w:hAnsi="宋体" w:eastAsia="宋体" w:cs="宋体"/>
          <w:snapToGrid w:val="0"/>
          <w:color w:val="auto"/>
          <w:kern w:val="0"/>
          <w:sz w:val="24"/>
          <w:szCs w:val="24"/>
          <w:highlight w:val="none"/>
          <w:lang w:val="en-US" w:eastAsia="zh-CN"/>
        </w:rPr>
        <w:t>暂存清水供回用</w:t>
      </w:r>
      <w:r>
        <w:rPr>
          <w:rFonts w:hint="eastAsia" w:ascii="宋体" w:hAnsi="宋体" w:eastAsia="宋体" w:cs="宋体"/>
          <w:snapToGrid w:val="0"/>
          <w:color w:val="auto"/>
          <w:kern w:val="0"/>
          <w:sz w:val="24"/>
          <w:szCs w:val="24"/>
          <w:highlight w:val="none"/>
        </w:rPr>
        <w:t>和出</w:t>
      </w:r>
      <w:r>
        <w:rPr>
          <w:rFonts w:hint="eastAsia" w:ascii="宋体" w:hAnsi="宋体" w:eastAsia="宋体" w:cs="宋体"/>
          <w:snapToGrid w:val="0"/>
          <w:color w:val="auto"/>
          <w:kern w:val="0"/>
          <w:sz w:val="24"/>
          <w:szCs w:val="24"/>
        </w:rPr>
        <w:t>水计量。</w:t>
      </w:r>
    </w:p>
    <w:p w14:paraId="2F0FC5C0">
      <w:pPr>
        <w:spacing w:line="360" w:lineRule="auto"/>
        <w:ind w:firstLine="480" w:firstLineChars="200"/>
        <w:jc w:val="left"/>
        <w:rPr>
          <w:rFonts w:hint="eastAsia" w:ascii="宋体" w:hAnsi="宋体" w:eastAsia="宋体" w:cs="宋体"/>
          <w:snapToGrid w:val="0"/>
          <w:color w:val="auto"/>
          <w:kern w:val="0"/>
          <w:sz w:val="24"/>
          <w:szCs w:val="24"/>
        </w:rPr>
      </w:pPr>
      <w:r>
        <w:rPr>
          <w:rFonts w:hint="eastAsia" w:ascii="宋体" w:hAnsi="宋体" w:eastAsia="宋体" w:cs="宋体"/>
          <w:snapToGrid w:val="0"/>
          <w:color w:val="auto"/>
          <w:kern w:val="0"/>
          <w:sz w:val="24"/>
          <w:szCs w:val="24"/>
        </w:rPr>
        <w:t>设计</w:t>
      </w:r>
      <w:r>
        <w:rPr>
          <w:rFonts w:hint="eastAsia" w:ascii="宋体" w:hAnsi="宋体" w:eastAsia="宋体" w:cs="宋体"/>
          <w:snapToGrid w:val="0"/>
          <w:color w:val="auto"/>
          <w:kern w:val="0"/>
          <w:sz w:val="24"/>
          <w:szCs w:val="24"/>
          <w:lang w:val="en-US" w:eastAsia="zh-CN"/>
        </w:rPr>
        <w:t>规模</w:t>
      </w:r>
      <w:r>
        <w:rPr>
          <w:rFonts w:hint="eastAsia" w:ascii="宋体" w:hAnsi="宋体" w:eastAsia="宋体" w:cs="宋体"/>
          <w:snapToGrid w:val="0"/>
          <w:color w:val="auto"/>
          <w:kern w:val="0"/>
          <w:sz w:val="24"/>
          <w:szCs w:val="24"/>
        </w:rPr>
        <w:t>：Q=</w:t>
      </w:r>
      <w:r>
        <w:rPr>
          <w:rFonts w:hint="eastAsia" w:ascii="宋体" w:hAnsi="宋体" w:cs="宋体"/>
          <w:snapToGrid w:val="0"/>
          <w:color w:val="auto"/>
          <w:kern w:val="0"/>
          <w:sz w:val="24"/>
          <w:szCs w:val="24"/>
          <w:lang w:val="en-US" w:eastAsia="zh-CN"/>
        </w:rPr>
        <w:t>8</w:t>
      </w:r>
      <w:r>
        <w:rPr>
          <w:rFonts w:hint="eastAsia" w:ascii="宋体" w:hAnsi="宋体" w:eastAsia="宋体" w:cs="宋体"/>
          <w:snapToGrid w:val="0"/>
          <w:color w:val="auto"/>
          <w:kern w:val="0"/>
          <w:sz w:val="24"/>
          <w:szCs w:val="24"/>
          <w:lang w:val="en-US" w:eastAsia="zh-CN"/>
        </w:rPr>
        <w:t>0</w:t>
      </w:r>
      <w:r>
        <w:rPr>
          <w:rFonts w:hint="eastAsia" w:ascii="宋体" w:hAnsi="宋体" w:eastAsia="宋体" w:cs="宋体"/>
          <w:snapToGrid w:val="0"/>
          <w:color w:val="auto"/>
          <w:kern w:val="0"/>
          <w:sz w:val="24"/>
          <w:szCs w:val="24"/>
        </w:rPr>
        <w:t>m</w:t>
      </w:r>
      <w:r>
        <w:rPr>
          <w:rFonts w:hint="eastAsia" w:ascii="宋体" w:hAnsi="宋体" w:eastAsia="宋体" w:cs="宋体"/>
          <w:snapToGrid w:val="0"/>
          <w:color w:val="auto"/>
          <w:kern w:val="0"/>
          <w:sz w:val="24"/>
          <w:szCs w:val="24"/>
          <w:vertAlign w:val="superscript"/>
        </w:rPr>
        <w:t>3</w:t>
      </w:r>
      <w:r>
        <w:rPr>
          <w:rFonts w:hint="eastAsia" w:ascii="宋体" w:hAnsi="宋体" w:eastAsia="宋体" w:cs="宋体"/>
          <w:snapToGrid w:val="0"/>
          <w:color w:val="auto"/>
          <w:kern w:val="0"/>
          <w:sz w:val="24"/>
          <w:szCs w:val="24"/>
        </w:rPr>
        <w:t>/</w:t>
      </w:r>
      <w:r>
        <w:rPr>
          <w:rFonts w:hint="eastAsia" w:ascii="宋体" w:hAnsi="宋体" w:eastAsia="宋体" w:cs="宋体"/>
          <w:snapToGrid w:val="0"/>
          <w:color w:val="auto"/>
          <w:kern w:val="0"/>
          <w:sz w:val="24"/>
          <w:szCs w:val="24"/>
          <w:lang w:val="en-US" w:eastAsia="zh-CN"/>
        </w:rPr>
        <w:t>d</w:t>
      </w:r>
      <w:r>
        <w:rPr>
          <w:rFonts w:hint="eastAsia" w:ascii="宋体" w:hAnsi="宋体" w:eastAsia="宋体" w:cs="宋体"/>
          <w:snapToGrid w:val="0"/>
          <w:color w:val="auto"/>
          <w:kern w:val="0"/>
          <w:sz w:val="24"/>
          <w:szCs w:val="24"/>
        </w:rPr>
        <w:t>。</w:t>
      </w:r>
    </w:p>
    <w:p w14:paraId="5859A326">
      <w:pPr>
        <w:spacing w:line="360" w:lineRule="auto"/>
        <w:ind w:firstLine="480" w:firstLineChars="200"/>
        <w:jc w:val="left"/>
        <w:rPr>
          <w:rFonts w:hint="eastAsia" w:ascii="宋体" w:hAnsi="宋体" w:eastAsia="宋体" w:cs="宋体"/>
          <w:snapToGrid w:val="0"/>
          <w:color w:val="auto"/>
          <w:kern w:val="0"/>
          <w:sz w:val="24"/>
          <w:szCs w:val="24"/>
          <w:lang w:val="en-US" w:eastAsia="zh-CN"/>
        </w:rPr>
      </w:pPr>
      <w:r>
        <w:rPr>
          <w:rFonts w:hint="eastAsia" w:ascii="宋体" w:hAnsi="宋体" w:eastAsia="宋体" w:cs="宋体"/>
          <w:snapToGrid w:val="0"/>
          <w:color w:val="auto"/>
          <w:kern w:val="0"/>
          <w:sz w:val="24"/>
          <w:szCs w:val="24"/>
          <w:lang w:val="en-US" w:eastAsia="zh-CN"/>
        </w:rPr>
        <w:t>清水井容积：</w:t>
      </w:r>
      <w:r>
        <w:rPr>
          <w:rFonts w:hint="eastAsia" w:ascii="宋体" w:hAnsi="宋体" w:cs="宋体"/>
          <w:snapToGrid w:val="0"/>
          <w:color w:val="auto"/>
          <w:kern w:val="0"/>
          <w:sz w:val="24"/>
          <w:szCs w:val="24"/>
          <w:lang w:val="en-US" w:eastAsia="zh-CN"/>
        </w:rPr>
        <w:t>4</w:t>
      </w:r>
      <w:r>
        <w:rPr>
          <w:rFonts w:hint="eastAsia" w:ascii="宋体" w:hAnsi="宋体" w:eastAsia="宋体" w:cs="宋体"/>
          <w:snapToGrid w:val="0"/>
          <w:color w:val="auto"/>
          <w:kern w:val="0"/>
          <w:sz w:val="24"/>
          <w:szCs w:val="24"/>
          <w:lang w:val="en-US" w:eastAsia="zh-CN"/>
        </w:rPr>
        <w:t>m</w:t>
      </w:r>
      <w:r>
        <w:rPr>
          <w:rFonts w:hint="eastAsia" w:ascii="宋体" w:hAnsi="宋体" w:eastAsia="宋体" w:cs="宋体"/>
          <w:snapToGrid w:val="0"/>
          <w:color w:val="auto"/>
          <w:kern w:val="0"/>
          <w:sz w:val="24"/>
          <w:szCs w:val="24"/>
          <w:vertAlign w:val="superscript"/>
          <w:lang w:val="en-US" w:eastAsia="zh-CN"/>
        </w:rPr>
        <w:t>3</w:t>
      </w:r>
      <w:r>
        <w:rPr>
          <w:rFonts w:hint="eastAsia" w:ascii="宋体" w:hAnsi="宋体" w:eastAsia="宋体" w:cs="宋体"/>
          <w:snapToGrid w:val="0"/>
          <w:color w:val="auto"/>
          <w:kern w:val="0"/>
          <w:sz w:val="24"/>
          <w:szCs w:val="24"/>
          <w:lang w:val="en-US" w:eastAsia="zh-CN"/>
        </w:rPr>
        <w:t>。</w:t>
      </w:r>
    </w:p>
    <w:p w14:paraId="6421A81D">
      <w:pPr>
        <w:spacing w:line="360" w:lineRule="auto"/>
        <w:ind w:firstLine="480" w:firstLineChars="200"/>
        <w:jc w:val="left"/>
        <w:rPr>
          <w:rFonts w:hint="eastAsia" w:ascii="宋体" w:hAnsi="宋体" w:eastAsia="宋体" w:cs="宋体"/>
          <w:snapToGrid w:val="0"/>
          <w:color w:val="auto"/>
          <w:kern w:val="0"/>
          <w:sz w:val="24"/>
          <w:szCs w:val="24"/>
        </w:rPr>
      </w:pPr>
      <w:r>
        <w:rPr>
          <w:rFonts w:hint="eastAsia" w:ascii="宋体" w:hAnsi="宋体" w:eastAsia="宋体" w:cs="宋体"/>
          <w:snapToGrid w:val="0"/>
          <w:color w:val="auto"/>
          <w:kern w:val="0"/>
          <w:sz w:val="24"/>
          <w:szCs w:val="24"/>
        </w:rPr>
        <w:t>主要设备：</w:t>
      </w:r>
    </w:p>
    <w:p w14:paraId="2DA43805">
      <w:pPr>
        <w:spacing w:line="360" w:lineRule="auto"/>
        <w:ind w:firstLine="480" w:firstLineChars="200"/>
        <w:jc w:val="left"/>
        <w:rPr>
          <w:rFonts w:hint="eastAsia" w:ascii="宋体" w:hAnsi="宋体" w:eastAsia="宋体" w:cs="宋体"/>
          <w:snapToGrid w:val="0"/>
          <w:color w:val="auto"/>
          <w:kern w:val="0"/>
          <w:sz w:val="24"/>
          <w:szCs w:val="24"/>
          <w:lang w:val="en-US" w:eastAsia="zh-CN"/>
        </w:rPr>
      </w:pPr>
      <w:r>
        <w:rPr>
          <w:rFonts w:hint="eastAsia" w:ascii="宋体" w:hAnsi="宋体" w:cs="宋体"/>
          <w:snapToGrid w:val="0"/>
          <w:color w:val="auto"/>
          <w:kern w:val="0"/>
          <w:sz w:val="24"/>
          <w:szCs w:val="24"/>
          <w:lang w:val="en-US" w:eastAsia="zh-CN"/>
        </w:rPr>
        <w:t>①</w:t>
      </w:r>
      <w:r>
        <w:rPr>
          <w:rFonts w:hint="eastAsia" w:ascii="宋体" w:hAnsi="宋体" w:eastAsia="宋体" w:cs="宋体"/>
          <w:snapToGrid w:val="0"/>
          <w:color w:val="auto"/>
          <w:kern w:val="0"/>
          <w:sz w:val="24"/>
          <w:szCs w:val="24"/>
          <w:lang w:val="en-US" w:eastAsia="zh-CN"/>
        </w:rPr>
        <w:t>潜污泵，1台，流量5m</w:t>
      </w:r>
      <w:r>
        <w:rPr>
          <w:rFonts w:hint="eastAsia" w:ascii="宋体" w:hAnsi="宋体" w:eastAsia="宋体" w:cs="宋体"/>
          <w:snapToGrid w:val="0"/>
          <w:color w:val="auto"/>
          <w:kern w:val="0"/>
          <w:sz w:val="24"/>
          <w:szCs w:val="24"/>
          <w:vertAlign w:val="superscript"/>
          <w:lang w:val="en-US" w:eastAsia="zh-CN"/>
        </w:rPr>
        <w:t>3</w:t>
      </w:r>
      <w:r>
        <w:rPr>
          <w:rFonts w:hint="eastAsia" w:ascii="宋体" w:hAnsi="宋体" w:eastAsia="宋体" w:cs="宋体"/>
          <w:snapToGrid w:val="0"/>
          <w:color w:val="auto"/>
          <w:kern w:val="0"/>
          <w:sz w:val="24"/>
          <w:szCs w:val="24"/>
          <w:lang w:val="en-US" w:eastAsia="zh-CN"/>
        </w:rPr>
        <w:t>/h，扬程7m，功率370W。</w:t>
      </w:r>
    </w:p>
    <w:p w14:paraId="55BACE25">
      <w:pPr>
        <w:spacing w:line="360" w:lineRule="auto"/>
        <w:ind w:firstLine="480" w:firstLineChars="200"/>
        <w:jc w:val="left"/>
        <w:rPr>
          <w:rFonts w:hint="eastAsia" w:ascii="宋体" w:hAnsi="宋体" w:eastAsia="宋体" w:cs="宋体"/>
          <w:snapToGrid w:val="0"/>
          <w:color w:val="auto"/>
          <w:kern w:val="0"/>
          <w:sz w:val="24"/>
          <w:szCs w:val="24"/>
          <w:lang w:val="en-US" w:eastAsia="zh-CN"/>
        </w:rPr>
      </w:pPr>
      <w:r>
        <w:rPr>
          <w:rFonts w:hint="eastAsia" w:ascii="宋体" w:hAnsi="宋体" w:cs="宋体"/>
          <w:snapToGrid w:val="0"/>
          <w:color w:val="auto"/>
          <w:kern w:val="0"/>
          <w:sz w:val="24"/>
          <w:szCs w:val="24"/>
          <w:lang w:val="en-US" w:eastAsia="zh-CN"/>
        </w:rPr>
        <w:t>②</w:t>
      </w:r>
      <w:r>
        <w:rPr>
          <w:rFonts w:hint="eastAsia" w:ascii="宋体" w:hAnsi="宋体" w:eastAsia="宋体" w:cs="宋体"/>
          <w:snapToGrid w:val="0"/>
          <w:color w:val="auto"/>
          <w:kern w:val="0"/>
          <w:sz w:val="24"/>
          <w:szCs w:val="24"/>
          <w:lang w:val="en-US" w:eastAsia="zh-CN"/>
        </w:rPr>
        <w:t>浮球液位计0~5m，4~20mA。</w:t>
      </w:r>
    </w:p>
    <w:p w14:paraId="2FB17565">
      <w:pPr>
        <w:spacing w:line="360" w:lineRule="auto"/>
        <w:ind w:firstLine="480" w:firstLineChars="200"/>
        <w:jc w:val="left"/>
        <w:rPr>
          <w:rFonts w:hint="eastAsia" w:ascii="宋体" w:hAnsi="宋体" w:eastAsia="宋体" w:cs="宋体"/>
          <w:snapToGrid w:val="0"/>
          <w:color w:val="auto"/>
          <w:kern w:val="0"/>
          <w:sz w:val="24"/>
          <w:szCs w:val="24"/>
          <w:lang w:val="en-US" w:eastAsia="zh-CN"/>
        </w:rPr>
      </w:pPr>
      <w:r>
        <w:rPr>
          <w:rFonts w:hint="eastAsia" w:ascii="宋体" w:hAnsi="宋体" w:cs="宋体"/>
          <w:snapToGrid w:val="0"/>
          <w:color w:val="auto"/>
          <w:kern w:val="0"/>
          <w:sz w:val="24"/>
          <w:szCs w:val="24"/>
          <w:lang w:val="en-US" w:eastAsia="zh-CN"/>
        </w:rPr>
        <w:t>③</w:t>
      </w:r>
      <w:r>
        <w:rPr>
          <w:rFonts w:hint="eastAsia" w:ascii="宋体" w:hAnsi="宋体" w:eastAsia="宋体" w:cs="宋体"/>
          <w:snapToGrid w:val="0"/>
          <w:color w:val="auto"/>
          <w:kern w:val="0"/>
          <w:sz w:val="24"/>
          <w:szCs w:val="24"/>
          <w:lang w:val="en-US" w:eastAsia="zh-CN"/>
        </w:rPr>
        <w:t>电磁流量计，DN25,PN1.6MPa。</w:t>
      </w:r>
    </w:p>
    <w:p w14:paraId="75F0FC4F">
      <w:pPr>
        <w:spacing w:line="360" w:lineRule="auto"/>
        <w:ind w:firstLine="482" w:firstLineChars="200"/>
        <w:jc w:val="left"/>
        <w:rPr>
          <w:rFonts w:hint="eastAsia" w:ascii="宋体" w:hAnsi="宋体" w:cs="宋体"/>
          <w:b/>
          <w:bCs/>
          <w:snapToGrid w:val="0"/>
          <w:color w:val="auto"/>
          <w:kern w:val="0"/>
          <w:sz w:val="24"/>
          <w:szCs w:val="24"/>
          <w:highlight w:val="none"/>
          <w:lang w:val="en-US" w:eastAsia="zh-CN"/>
        </w:rPr>
      </w:pPr>
      <w:r>
        <w:rPr>
          <w:rFonts w:hint="eastAsia" w:ascii="宋体" w:hAnsi="宋体" w:cs="宋体"/>
          <w:b/>
          <w:bCs/>
          <w:snapToGrid w:val="0"/>
          <w:color w:val="auto"/>
          <w:kern w:val="0"/>
          <w:sz w:val="24"/>
          <w:szCs w:val="24"/>
          <w:highlight w:val="none"/>
          <w:lang w:val="en-US" w:eastAsia="zh-CN"/>
        </w:rPr>
        <w:t>（4）其他</w:t>
      </w:r>
    </w:p>
    <w:p w14:paraId="5C4591ED">
      <w:pPr>
        <w:spacing w:line="360" w:lineRule="auto"/>
        <w:ind w:firstLine="480" w:firstLineChars="200"/>
        <w:jc w:val="left"/>
        <w:rPr>
          <w:rFonts w:hint="eastAsia" w:ascii="宋体" w:hAnsi="宋体" w:eastAsia="宋体" w:cs="宋体"/>
          <w:snapToGrid w:val="0"/>
          <w:color w:val="auto"/>
          <w:kern w:val="0"/>
          <w:sz w:val="24"/>
          <w:szCs w:val="24"/>
          <w:lang w:val="en-US" w:eastAsia="zh-CN"/>
        </w:rPr>
      </w:pPr>
      <w:r>
        <w:rPr>
          <w:rFonts w:hint="eastAsia" w:ascii="宋体" w:hAnsi="宋体" w:eastAsia="宋体" w:cs="宋体"/>
          <w:snapToGrid w:val="0"/>
          <w:color w:val="auto"/>
          <w:kern w:val="0"/>
          <w:sz w:val="24"/>
          <w:szCs w:val="24"/>
          <w:lang w:val="en-US" w:eastAsia="zh-CN"/>
        </w:rPr>
        <w:t>配电箱、控制柜、阀门阀件、管道等附件。</w:t>
      </w:r>
    </w:p>
    <w:p w14:paraId="463A9DCB">
      <w:pPr>
        <w:spacing w:line="360" w:lineRule="auto"/>
        <w:ind w:firstLine="480" w:firstLineChars="200"/>
        <w:jc w:val="left"/>
        <w:rPr>
          <w:rFonts w:hint="eastAsia" w:ascii="宋体" w:hAnsi="宋体" w:eastAsia="宋体" w:cs="宋体"/>
          <w:snapToGrid w:val="0"/>
          <w:color w:val="auto"/>
          <w:kern w:val="0"/>
          <w:sz w:val="24"/>
          <w:szCs w:val="24"/>
          <w:highlight w:val="none"/>
          <w:lang w:val="en-US" w:eastAsia="zh-CN"/>
        </w:rPr>
      </w:pPr>
      <w:r>
        <w:rPr>
          <w:rFonts w:hint="eastAsia" w:ascii="宋体" w:hAnsi="宋体" w:eastAsia="宋体" w:cs="宋体"/>
          <w:snapToGrid w:val="0"/>
          <w:color w:val="auto"/>
          <w:kern w:val="0"/>
          <w:sz w:val="24"/>
          <w:szCs w:val="24"/>
          <w:highlight w:val="none"/>
          <w:lang w:val="en-US" w:eastAsia="zh-CN"/>
        </w:rPr>
        <w:t>智慧管家控制柜：</w:t>
      </w:r>
    </w:p>
    <w:p w14:paraId="1709E144">
      <w:pPr>
        <w:spacing w:line="360" w:lineRule="auto"/>
        <w:ind w:firstLine="480" w:firstLineChars="200"/>
        <w:jc w:val="left"/>
        <w:rPr>
          <w:rFonts w:hint="eastAsia" w:ascii="宋体" w:hAnsi="宋体" w:eastAsia="宋体" w:cs="宋体"/>
          <w:snapToGrid w:val="0"/>
          <w:color w:val="auto"/>
          <w:kern w:val="0"/>
          <w:sz w:val="24"/>
          <w:szCs w:val="24"/>
          <w:highlight w:val="none"/>
          <w:lang w:val="en-US" w:eastAsia="zh-CN"/>
        </w:rPr>
      </w:pPr>
      <w:r>
        <w:rPr>
          <w:rFonts w:hint="eastAsia" w:ascii="宋体" w:hAnsi="宋体" w:eastAsia="宋体" w:cs="宋体"/>
          <w:snapToGrid w:val="0"/>
          <w:color w:val="auto"/>
          <w:kern w:val="0"/>
          <w:sz w:val="24"/>
          <w:szCs w:val="24"/>
          <w:highlight w:val="none"/>
          <w:lang w:val="en-US" w:eastAsia="zh-CN"/>
        </w:rPr>
        <w:t>尺寸1760×600×400mm，误差控制在±2%以内；</w:t>
      </w:r>
    </w:p>
    <w:p w14:paraId="2FD0F282">
      <w:pPr>
        <w:spacing w:line="360" w:lineRule="auto"/>
        <w:ind w:firstLine="480" w:firstLineChars="200"/>
        <w:jc w:val="left"/>
        <w:rPr>
          <w:rFonts w:hint="eastAsia" w:ascii="宋体" w:hAnsi="宋体" w:eastAsia="宋体" w:cs="宋体"/>
          <w:snapToGrid w:val="0"/>
          <w:color w:val="auto"/>
          <w:kern w:val="0"/>
          <w:sz w:val="24"/>
          <w:szCs w:val="24"/>
          <w:highlight w:val="none"/>
          <w:lang w:val="en-US" w:eastAsia="zh-CN"/>
        </w:rPr>
      </w:pPr>
      <w:r>
        <w:rPr>
          <w:rFonts w:hint="eastAsia" w:ascii="宋体" w:hAnsi="宋体" w:eastAsia="宋体" w:cs="宋体"/>
          <w:snapToGrid w:val="0"/>
          <w:color w:val="auto"/>
          <w:kern w:val="0"/>
          <w:sz w:val="24"/>
          <w:szCs w:val="24"/>
          <w:highlight w:val="none"/>
          <w:lang w:val="en-US" w:eastAsia="zh-CN"/>
        </w:rPr>
        <w:t>主要功能：</w:t>
      </w:r>
    </w:p>
    <w:p w14:paraId="53763EC5">
      <w:pPr>
        <w:spacing w:line="360" w:lineRule="auto"/>
        <w:ind w:firstLine="480" w:firstLineChars="200"/>
        <w:jc w:val="left"/>
        <w:rPr>
          <w:rFonts w:hint="eastAsia" w:ascii="宋体" w:hAnsi="宋体" w:eastAsia="宋体" w:cs="宋体"/>
          <w:snapToGrid w:val="0"/>
          <w:color w:val="auto"/>
          <w:kern w:val="0"/>
          <w:sz w:val="24"/>
          <w:szCs w:val="24"/>
          <w:highlight w:val="none"/>
          <w:lang w:val="en-US" w:eastAsia="zh-CN"/>
        </w:rPr>
      </w:pPr>
      <w:r>
        <w:rPr>
          <w:rFonts w:hint="eastAsia" w:ascii="宋体" w:hAnsi="宋体" w:eastAsia="宋体" w:cs="宋体"/>
          <w:snapToGrid w:val="0"/>
          <w:color w:val="auto"/>
          <w:kern w:val="0"/>
          <w:sz w:val="24"/>
          <w:szCs w:val="24"/>
          <w:highlight w:val="none"/>
          <w:lang w:val="en-US" w:eastAsia="zh-CN"/>
        </w:rPr>
        <w:t>1）可远程上传数据，配合农村污水智能巡维系统实现远程控制功能；</w:t>
      </w:r>
    </w:p>
    <w:p w14:paraId="7F2F872D">
      <w:pPr>
        <w:spacing w:line="360" w:lineRule="auto"/>
        <w:ind w:firstLine="480" w:firstLineChars="200"/>
        <w:jc w:val="left"/>
        <w:rPr>
          <w:rFonts w:hint="eastAsia" w:ascii="宋体" w:hAnsi="宋体" w:eastAsia="宋体" w:cs="宋体"/>
          <w:snapToGrid w:val="0"/>
          <w:color w:val="auto"/>
          <w:kern w:val="0"/>
          <w:sz w:val="24"/>
          <w:szCs w:val="24"/>
          <w:highlight w:val="none"/>
          <w:lang w:val="en-US" w:eastAsia="zh-CN"/>
        </w:rPr>
      </w:pPr>
      <w:r>
        <w:rPr>
          <w:rFonts w:hint="eastAsia" w:ascii="宋体" w:hAnsi="宋体" w:eastAsia="宋体" w:cs="宋体"/>
          <w:snapToGrid w:val="0"/>
          <w:color w:val="auto"/>
          <w:kern w:val="0"/>
          <w:sz w:val="24"/>
          <w:szCs w:val="24"/>
          <w:highlight w:val="none"/>
          <w:lang w:val="en-US" w:eastAsia="zh-CN"/>
        </w:rPr>
        <w:t>2）自动精准曝气，可实现间歇曝气、常曝气、按照溶解氧自动调节曝气；</w:t>
      </w:r>
    </w:p>
    <w:p w14:paraId="19D034FC">
      <w:pPr>
        <w:spacing w:line="360" w:lineRule="auto"/>
        <w:ind w:firstLine="480" w:firstLineChars="200"/>
        <w:jc w:val="left"/>
        <w:rPr>
          <w:rFonts w:hint="eastAsia" w:ascii="宋体" w:hAnsi="宋体" w:eastAsia="宋体" w:cs="宋体"/>
          <w:snapToGrid w:val="0"/>
          <w:color w:val="auto"/>
          <w:kern w:val="0"/>
          <w:sz w:val="24"/>
          <w:szCs w:val="24"/>
          <w:highlight w:val="none"/>
          <w:lang w:val="en-US" w:eastAsia="zh-CN"/>
        </w:rPr>
      </w:pPr>
      <w:r>
        <w:rPr>
          <w:rFonts w:hint="eastAsia" w:ascii="宋体" w:hAnsi="宋体" w:eastAsia="宋体" w:cs="宋体"/>
          <w:snapToGrid w:val="0"/>
          <w:color w:val="auto"/>
          <w:kern w:val="0"/>
          <w:sz w:val="24"/>
          <w:szCs w:val="24"/>
          <w:highlight w:val="none"/>
          <w:lang w:val="en-US" w:eastAsia="zh-CN"/>
        </w:rPr>
        <w:t>3）进水具备时间和液位双重控制功能；</w:t>
      </w:r>
    </w:p>
    <w:p w14:paraId="67183287">
      <w:pPr>
        <w:spacing w:line="360" w:lineRule="auto"/>
        <w:ind w:firstLine="480" w:firstLineChars="200"/>
        <w:jc w:val="left"/>
        <w:rPr>
          <w:rFonts w:hint="eastAsia" w:ascii="宋体" w:hAnsi="宋体" w:eastAsia="宋体" w:cs="宋体"/>
          <w:snapToGrid w:val="0"/>
          <w:color w:val="auto"/>
          <w:kern w:val="0"/>
          <w:sz w:val="24"/>
          <w:szCs w:val="24"/>
          <w:highlight w:val="none"/>
          <w:lang w:val="en-US" w:eastAsia="zh-CN"/>
        </w:rPr>
      </w:pPr>
      <w:r>
        <w:rPr>
          <w:rFonts w:hint="eastAsia" w:ascii="宋体" w:hAnsi="宋体" w:eastAsia="宋体" w:cs="宋体"/>
          <w:snapToGrid w:val="0"/>
          <w:color w:val="auto"/>
          <w:kern w:val="0"/>
          <w:sz w:val="24"/>
          <w:szCs w:val="24"/>
          <w:highlight w:val="none"/>
          <w:lang w:val="en-US" w:eastAsia="zh-CN"/>
        </w:rPr>
        <w:t>4）出水具备液位控制功能；</w:t>
      </w:r>
    </w:p>
    <w:p w14:paraId="30FA6235">
      <w:pPr>
        <w:spacing w:line="360" w:lineRule="auto"/>
        <w:ind w:firstLine="480" w:firstLineChars="200"/>
        <w:jc w:val="left"/>
        <w:rPr>
          <w:rFonts w:hint="eastAsia" w:ascii="宋体" w:hAnsi="宋体" w:eastAsia="宋体" w:cs="宋体"/>
          <w:snapToGrid w:val="0"/>
          <w:color w:val="auto"/>
          <w:kern w:val="0"/>
          <w:sz w:val="24"/>
          <w:szCs w:val="24"/>
          <w:highlight w:val="none"/>
          <w:lang w:val="en-US" w:eastAsia="zh-CN"/>
        </w:rPr>
      </w:pPr>
      <w:r>
        <w:rPr>
          <w:rFonts w:hint="eastAsia" w:ascii="宋体" w:hAnsi="宋体" w:eastAsia="宋体" w:cs="宋体"/>
          <w:snapToGrid w:val="0"/>
          <w:color w:val="auto"/>
          <w:kern w:val="0"/>
          <w:sz w:val="24"/>
          <w:szCs w:val="24"/>
          <w:highlight w:val="none"/>
          <w:lang w:val="en-US" w:eastAsia="zh-CN"/>
        </w:rPr>
        <w:t>配备12寸触摸屏4G网关等硬件；</w:t>
      </w:r>
    </w:p>
    <w:p w14:paraId="2EC56C87">
      <w:pPr>
        <w:spacing w:line="360" w:lineRule="auto"/>
        <w:ind w:firstLine="480" w:firstLineChars="200"/>
        <w:jc w:val="left"/>
        <w:rPr>
          <w:rFonts w:hint="eastAsia" w:ascii="宋体" w:hAnsi="宋体" w:eastAsia="宋体" w:cs="宋体"/>
          <w:snapToGrid w:val="0"/>
          <w:color w:val="auto"/>
          <w:kern w:val="0"/>
          <w:sz w:val="24"/>
          <w:szCs w:val="24"/>
          <w:lang w:val="en-US" w:eastAsia="zh-CN"/>
        </w:rPr>
      </w:pPr>
      <w:r>
        <w:rPr>
          <w:rFonts w:hint="eastAsia" w:ascii="宋体" w:hAnsi="宋体" w:eastAsia="宋体" w:cs="宋体"/>
          <w:snapToGrid w:val="0"/>
          <w:color w:val="auto"/>
          <w:kern w:val="0"/>
          <w:sz w:val="24"/>
          <w:szCs w:val="24"/>
          <w:highlight w:val="none"/>
          <w:lang w:val="en-US" w:eastAsia="zh-CN"/>
        </w:rPr>
        <w:t>电柜内可同时放置多台曝气风机。</w:t>
      </w:r>
    </w:p>
    <w:p w14:paraId="1E0CA2F9">
      <w:pPr>
        <w:keepNext w:val="0"/>
        <w:keepLines w:val="0"/>
        <w:pageBreakBefore w:val="0"/>
        <w:widowControl w:val="0"/>
        <w:kinsoku/>
        <w:wordWrap/>
        <w:overflowPunct/>
        <w:topLinePunct w:val="0"/>
        <w:autoSpaceDE/>
        <w:autoSpaceDN/>
        <w:bidi w:val="0"/>
        <w:adjustRightInd/>
        <w:snapToGrid/>
        <w:spacing w:beforeLines="0" w:afterLines="0" w:line="360" w:lineRule="auto"/>
        <w:ind w:firstLine="482" w:firstLineChars="200"/>
        <w:textAlignment w:val="auto"/>
        <w:rPr>
          <w:rFonts w:hint="eastAsia" w:ascii="宋体" w:hAnsi="宋体" w:eastAsia="宋体" w:cs="宋体"/>
          <w:b/>
          <w:bCs/>
          <w:color w:val="auto"/>
          <w:sz w:val="24"/>
          <w:szCs w:val="24"/>
        </w:rPr>
      </w:pPr>
      <w:r>
        <w:rPr>
          <w:rFonts w:hint="eastAsia" w:ascii="宋体" w:hAnsi="宋体" w:cs="宋体"/>
          <w:b/>
          <w:bCs/>
          <w:color w:val="auto"/>
          <w:sz w:val="24"/>
          <w:szCs w:val="24"/>
          <w:lang w:val="en-US" w:eastAsia="zh-CN"/>
        </w:rPr>
        <w:t>5、</w:t>
      </w:r>
      <w:r>
        <w:rPr>
          <w:rFonts w:hint="eastAsia" w:ascii="宋体" w:hAnsi="宋体" w:eastAsia="宋体" w:cs="宋体"/>
          <w:b/>
          <w:bCs/>
          <w:color w:val="auto"/>
          <w:sz w:val="24"/>
          <w:szCs w:val="24"/>
          <w:lang w:val="en-US" w:eastAsia="zh-CN"/>
        </w:rPr>
        <w:t>工艺</w:t>
      </w:r>
      <w:r>
        <w:rPr>
          <w:rFonts w:hint="eastAsia" w:ascii="宋体" w:hAnsi="宋体" w:eastAsia="宋体" w:cs="宋体"/>
          <w:b/>
          <w:bCs/>
          <w:color w:val="auto"/>
          <w:sz w:val="24"/>
          <w:szCs w:val="24"/>
        </w:rPr>
        <w:t>管道</w:t>
      </w:r>
    </w:p>
    <w:p w14:paraId="1B1276D1">
      <w:pPr>
        <w:keepNext w:val="0"/>
        <w:keepLines w:val="0"/>
        <w:pageBreakBefore w:val="0"/>
        <w:widowControl w:val="0"/>
        <w:kinsoku/>
        <w:wordWrap/>
        <w:overflowPunct/>
        <w:topLinePunct w:val="0"/>
        <w:autoSpaceDE/>
        <w:autoSpaceDN/>
        <w:bidi w:val="0"/>
        <w:adjustRightInd/>
        <w:snapToGrid/>
        <w:spacing w:beforeLines="0" w:afterLines="0"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管材与接口：本工程</w:t>
      </w:r>
      <w:r>
        <w:rPr>
          <w:rFonts w:hint="eastAsia" w:ascii="宋体" w:hAnsi="宋体" w:eastAsia="宋体" w:cs="宋体"/>
          <w:color w:val="auto"/>
          <w:sz w:val="24"/>
          <w:szCs w:val="24"/>
          <w:lang w:val="en-US" w:eastAsia="zh-CN"/>
        </w:rPr>
        <w:t>工艺管道采用压力性PVC给水管，厂家配套的管件连接</w:t>
      </w:r>
      <w:r>
        <w:rPr>
          <w:rFonts w:hint="eastAsia" w:ascii="宋体" w:hAnsi="宋体" w:eastAsia="宋体" w:cs="宋体"/>
          <w:color w:val="auto"/>
          <w:sz w:val="24"/>
          <w:szCs w:val="24"/>
        </w:rPr>
        <w:t>。塑料管与金属管及管路附件的连接采用法兰连接。</w:t>
      </w:r>
    </w:p>
    <w:p w14:paraId="61BF1B3C">
      <w:pPr>
        <w:keepNext w:val="0"/>
        <w:keepLines w:val="0"/>
        <w:pageBreakBefore w:val="0"/>
        <w:widowControl w:val="0"/>
        <w:kinsoku/>
        <w:wordWrap/>
        <w:overflowPunct/>
        <w:topLinePunct w:val="0"/>
        <w:autoSpaceDE/>
        <w:autoSpaceDN/>
        <w:bidi w:val="0"/>
        <w:adjustRightInd/>
        <w:snapToGrid/>
        <w:spacing w:beforeLines="0" w:afterLines="0"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管道基础</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一般采用大开挖埋设</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参见管道沟槽开挖与回填大样图</w:t>
      </w:r>
      <w:r>
        <w:rPr>
          <w:rFonts w:hint="eastAsia" w:ascii="宋体" w:hAnsi="宋体" w:eastAsia="宋体" w:cs="宋体"/>
          <w:color w:val="auto"/>
          <w:sz w:val="24"/>
          <w:szCs w:val="24"/>
        </w:rPr>
        <w:t>，如遇不良地基,需另按要求进行地基处理后再做管基施工,需通知设计人员到现场协调处理。</w:t>
      </w:r>
    </w:p>
    <w:p w14:paraId="7CBB103E">
      <w:pPr>
        <w:keepNext w:val="0"/>
        <w:keepLines w:val="0"/>
        <w:pageBreakBefore w:val="0"/>
        <w:widowControl w:val="0"/>
        <w:kinsoku/>
        <w:wordWrap/>
        <w:overflowPunct/>
        <w:topLinePunct w:val="0"/>
        <w:autoSpaceDE/>
        <w:autoSpaceDN/>
        <w:bidi w:val="0"/>
        <w:adjustRightInd/>
        <w:snapToGrid/>
        <w:spacing w:beforeLines="0" w:afterLines="0" w:line="360" w:lineRule="auto"/>
        <w:ind w:firstLine="480" w:firstLineChars="2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rPr>
        <w:t>管道防腐</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本工程工艺管道采用PVC材质，不需进行特殊防腐处理。</w:t>
      </w:r>
    </w:p>
    <w:p w14:paraId="3D7A12EC">
      <w:pPr>
        <w:keepNext w:val="0"/>
        <w:keepLines w:val="0"/>
        <w:pageBreakBefore w:val="0"/>
        <w:widowControl w:val="0"/>
        <w:kinsoku/>
        <w:wordWrap/>
        <w:overflowPunct/>
        <w:topLinePunct w:val="0"/>
        <w:autoSpaceDE/>
        <w:autoSpaceDN/>
        <w:bidi w:val="0"/>
        <w:adjustRightInd/>
        <w:snapToGrid/>
        <w:spacing w:beforeLines="0" w:afterLines="0" w:line="360" w:lineRule="auto"/>
        <w:ind w:firstLine="482" w:firstLineChars="200"/>
        <w:textAlignment w:val="auto"/>
        <w:rPr>
          <w:rFonts w:hint="eastAsia" w:ascii="宋体" w:hAnsi="宋体" w:eastAsia="宋体" w:cs="宋体"/>
          <w:b/>
          <w:bCs/>
          <w:color w:val="auto"/>
          <w:sz w:val="24"/>
          <w:szCs w:val="24"/>
        </w:rPr>
      </w:pPr>
      <w:r>
        <w:rPr>
          <w:rFonts w:hint="eastAsia" w:ascii="宋体" w:hAnsi="宋体" w:cs="宋体"/>
          <w:b/>
          <w:bCs/>
          <w:color w:val="auto"/>
          <w:sz w:val="24"/>
          <w:szCs w:val="24"/>
          <w:lang w:val="en-US" w:eastAsia="zh-CN"/>
        </w:rPr>
        <w:t>6、</w:t>
      </w:r>
      <w:r>
        <w:rPr>
          <w:rFonts w:hint="eastAsia" w:ascii="宋体" w:hAnsi="宋体" w:eastAsia="宋体" w:cs="宋体"/>
          <w:b/>
          <w:bCs/>
          <w:color w:val="auto"/>
          <w:sz w:val="24"/>
          <w:szCs w:val="24"/>
        </w:rPr>
        <w:t>抗震设计</w:t>
      </w:r>
    </w:p>
    <w:p w14:paraId="1EDFC65E">
      <w:pPr>
        <w:keepNext w:val="0"/>
        <w:keepLines w:val="0"/>
        <w:pageBreakBefore w:val="0"/>
        <w:widowControl w:val="0"/>
        <w:kinsoku/>
        <w:wordWrap/>
        <w:overflowPunct/>
        <w:topLinePunct w:val="0"/>
        <w:autoSpaceDE/>
        <w:autoSpaceDN/>
        <w:bidi w:val="0"/>
        <w:adjustRightInd/>
        <w:snapToGrid/>
        <w:spacing w:beforeLines="0" w:afterLines="0"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为防止地震时工艺设备及给排水管道系统失效或跌落造成人员伤亡及财产损失，根据《建筑抗震设计规范》（GB50011-2010）（2016年版）第1.0.2条、第3.7.1条及《建筑机电工程抗震设计规范》（GB50981－2014）第1.0.4条等强制性条文，应对工艺设备及管线系统进行抗震加固。</w:t>
      </w:r>
    </w:p>
    <w:p w14:paraId="12CD4F82">
      <w:pPr>
        <w:keepNext w:val="0"/>
        <w:keepLines w:val="0"/>
        <w:pageBreakBefore w:val="0"/>
        <w:widowControl w:val="0"/>
        <w:kinsoku/>
        <w:wordWrap/>
        <w:overflowPunct/>
        <w:topLinePunct w:val="0"/>
        <w:autoSpaceDE/>
        <w:autoSpaceDN/>
        <w:bidi w:val="0"/>
        <w:adjustRightInd/>
        <w:snapToGrid/>
        <w:spacing w:beforeLines="0" w:afterLines="0"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本项目对直径≥DN65的管道设置抗震支吊架，与混凝土、钢结构等须采取可靠的锚固形式，具体深化设计由设备安装单位完成。抗震支吊架的设置原则为：刚性管道侧向抗震支撑最大设计间距12米，纵向抗震支撑最大设计间距24米，柔性管道上述参数减半，为保证抗震系统的整体安全性，对长度低于300mm的吊杆，也建议进行适当的补强，最终间距根据现场实际情况确定，其他未尽事宜必须满足《建筑机电工程抗震设计》 GB 50981-2014及《室外给水排水和燃气热力工程抗震设计规范》 GB 50032-2003的相关要求。</w:t>
      </w:r>
    </w:p>
    <w:p w14:paraId="435A28CD">
      <w:pPr>
        <w:keepNext w:val="0"/>
        <w:keepLines w:val="0"/>
        <w:pageBreakBefore w:val="0"/>
        <w:widowControl w:val="0"/>
        <w:kinsoku/>
        <w:wordWrap/>
        <w:overflowPunct/>
        <w:topLinePunct w:val="0"/>
        <w:autoSpaceDE/>
        <w:autoSpaceDN/>
        <w:bidi w:val="0"/>
        <w:adjustRightInd/>
        <w:snapToGrid/>
        <w:spacing w:beforeLines="0" w:afterLines="0" w:line="360" w:lineRule="auto"/>
        <w:ind w:firstLine="482" w:firstLineChars="200"/>
        <w:textAlignment w:val="auto"/>
        <w:rPr>
          <w:rFonts w:hint="eastAsia" w:ascii="宋体" w:hAnsi="宋体" w:eastAsia="宋体" w:cs="宋体"/>
          <w:b/>
          <w:bCs/>
          <w:color w:val="auto"/>
          <w:sz w:val="24"/>
          <w:szCs w:val="24"/>
        </w:rPr>
      </w:pPr>
      <w:r>
        <w:rPr>
          <w:rFonts w:hint="eastAsia" w:ascii="宋体" w:hAnsi="宋体" w:cs="宋体"/>
          <w:b/>
          <w:bCs/>
          <w:color w:val="auto"/>
          <w:sz w:val="24"/>
          <w:szCs w:val="24"/>
          <w:lang w:val="en-US" w:eastAsia="zh-CN"/>
        </w:rPr>
        <w:t>7、</w:t>
      </w:r>
      <w:r>
        <w:rPr>
          <w:rFonts w:hint="eastAsia" w:ascii="宋体" w:hAnsi="宋体" w:eastAsia="宋体" w:cs="宋体"/>
          <w:b/>
          <w:bCs/>
          <w:color w:val="auto"/>
          <w:sz w:val="24"/>
          <w:szCs w:val="24"/>
        </w:rPr>
        <w:t>运行管理要求及安全措施</w:t>
      </w:r>
    </w:p>
    <w:p w14:paraId="5E6B9C9E">
      <w:pPr>
        <w:keepNext w:val="0"/>
        <w:keepLines w:val="0"/>
        <w:pageBreakBefore w:val="0"/>
        <w:widowControl w:val="0"/>
        <w:kinsoku/>
        <w:wordWrap/>
        <w:overflowPunct/>
        <w:topLinePunct w:val="0"/>
        <w:autoSpaceDE/>
        <w:autoSpaceDN/>
        <w:bidi w:val="0"/>
        <w:adjustRightInd/>
        <w:snapToGrid/>
        <w:spacing w:beforeLines="0" w:afterLines="0" w:line="360" w:lineRule="auto"/>
        <w:ind w:firstLine="480" w:firstLineChars="200"/>
        <w:textAlignment w:val="auto"/>
        <w:rPr>
          <w:rFonts w:hint="eastAsia" w:ascii="宋体" w:hAnsi="宋体" w:eastAsia="宋体" w:cs="宋体"/>
          <w:color w:val="auto"/>
          <w:sz w:val="24"/>
          <w:szCs w:val="24"/>
        </w:rPr>
      </w:pPr>
      <w:r>
        <w:rPr>
          <w:rFonts w:hint="eastAsia" w:ascii="宋体" w:hAnsi="宋体" w:cs="宋体"/>
          <w:color w:val="auto"/>
          <w:sz w:val="24"/>
          <w:szCs w:val="24"/>
          <w:lang w:val="en-US" w:eastAsia="zh-CN"/>
        </w:rPr>
        <w:t>（1）</w:t>
      </w:r>
      <w:r>
        <w:rPr>
          <w:rFonts w:hint="eastAsia" w:ascii="宋体" w:hAnsi="宋体" w:eastAsia="宋体" w:cs="宋体"/>
          <w:color w:val="auto"/>
          <w:sz w:val="24"/>
          <w:szCs w:val="24"/>
        </w:rPr>
        <w:t>考虑到格栅渠、</w:t>
      </w:r>
      <w:r>
        <w:rPr>
          <w:rFonts w:hint="eastAsia" w:ascii="宋体" w:hAnsi="宋体" w:eastAsia="宋体" w:cs="宋体"/>
          <w:color w:val="auto"/>
          <w:sz w:val="24"/>
          <w:szCs w:val="24"/>
          <w:lang w:val="en-US" w:eastAsia="zh-CN"/>
        </w:rPr>
        <w:t>提升井</w:t>
      </w:r>
      <w:r>
        <w:rPr>
          <w:rFonts w:hint="eastAsia" w:ascii="宋体" w:hAnsi="宋体" w:eastAsia="宋体" w:cs="宋体"/>
          <w:color w:val="auto"/>
          <w:sz w:val="24"/>
          <w:szCs w:val="24"/>
        </w:rPr>
        <w:t>的操作条件和确保操作人员安全，</w:t>
      </w:r>
      <w:r>
        <w:rPr>
          <w:rFonts w:hint="eastAsia" w:ascii="宋体" w:hAnsi="宋体" w:eastAsia="宋体" w:cs="宋体"/>
          <w:color w:val="auto"/>
          <w:sz w:val="24"/>
          <w:szCs w:val="24"/>
          <w:lang w:val="en-US" w:eastAsia="zh-CN"/>
        </w:rPr>
        <w:t>在下井检修时应采用</w:t>
      </w:r>
      <w:r>
        <w:rPr>
          <w:rFonts w:hint="eastAsia" w:ascii="宋体" w:hAnsi="宋体" w:eastAsia="宋体" w:cs="宋体"/>
          <w:color w:val="auto"/>
          <w:sz w:val="24"/>
          <w:szCs w:val="24"/>
        </w:rPr>
        <w:t>移动式</w:t>
      </w:r>
      <w:r>
        <w:rPr>
          <w:rFonts w:hint="eastAsia" w:ascii="宋体" w:hAnsi="宋体" w:eastAsia="宋体" w:cs="宋体"/>
          <w:color w:val="auto"/>
          <w:sz w:val="24"/>
          <w:szCs w:val="24"/>
          <w:lang w:val="en-US" w:eastAsia="zh-CN"/>
        </w:rPr>
        <w:t>通风</w:t>
      </w:r>
      <w:r>
        <w:rPr>
          <w:rFonts w:hint="eastAsia" w:ascii="宋体" w:hAnsi="宋体" w:eastAsia="宋体" w:cs="宋体"/>
          <w:color w:val="auto"/>
          <w:sz w:val="24"/>
          <w:szCs w:val="24"/>
        </w:rPr>
        <w:t>设备</w:t>
      </w:r>
      <w:r>
        <w:rPr>
          <w:rFonts w:hint="eastAsia" w:ascii="宋体" w:hAnsi="宋体" w:eastAsia="宋体" w:cs="宋体"/>
          <w:color w:val="auto"/>
          <w:sz w:val="24"/>
          <w:szCs w:val="24"/>
          <w:lang w:val="en-US" w:eastAsia="zh-CN"/>
        </w:rPr>
        <w:t>并携带</w:t>
      </w:r>
      <w:r>
        <w:rPr>
          <w:rFonts w:hint="eastAsia" w:ascii="宋体" w:hAnsi="宋体" w:eastAsia="宋体" w:cs="宋体"/>
          <w:color w:val="auto"/>
          <w:sz w:val="24"/>
          <w:szCs w:val="24"/>
        </w:rPr>
        <w:t>便携式有害气体检测和报警装置，</w:t>
      </w:r>
      <w:r>
        <w:rPr>
          <w:rFonts w:hint="eastAsia" w:ascii="宋体" w:hAnsi="宋体" w:eastAsia="宋体" w:cs="宋体"/>
          <w:color w:val="auto"/>
          <w:sz w:val="24"/>
          <w:szCs w:val="24"/>
          <w:lang w:val="en-US" w:eastAsia="zh-CN"/>
        </w:rPr>
        <w:t>确保安全的前提下下井操作</w:t>
      </w:r>
      <w:r>
        <w:rPr>
          <w:rFonts w:hint="eastAsia" w:ascii="宋体" w:hAnsi="宋体" w:eastAsia="宋体" w:cs="宋体"/>
          <w:color w:val="auto"/>
          <w:sz w:val="24"/>
          <w:szCs w:val="24"/>
        </w:rPr>
        <w:t>。</w:t>
      </w:r>
    </w:p>
    <w:p w14:paraId="4F60C28F">
      <w:pPr>
        <w:keepNext w:val="0"/>
        <w:keepLines w:val="0"/>
        <w:pageBreakBefore w:val="0"/>
        <w:widowControl w:val="0"/>
        <w:kinsoku/>
        <w:wordWrap/>
        <w:overflowPunct/>
        <w:topLinePunct w:val="0"/>
        <w:autoSpaceDE/>
        <w:autoSpaceDN/>
        <w:bidi w:val="0"/>
        <w:adjustRightInd/>
        <w:snapToGrid/>
        <w:spacing w:beforeLines="0" w:afterLines="0" w:line="360" w:lineRule="auto"/>
        <w:ind w:firstLine="480" w:firstLineChars="200"/>
        <w:textAlignment w:val="auto"/>
        <w:rPr>
          <w:rFonts w:hint="eastAsia" w:ascii="宋体" w:hAnsi="宋体" w:eastAsia="宋体" w:cs="宋体"/>
          <w:color w:val="auto"/>
          <w:sz w:val="24"/>
          <w:szCs w:val="24"/>
        </w:rPr>
      </w:pPr>
      <w:r>
        <w:rPr>
          <w:rFonts w:hint="eastAsia" w:ascii="宋体" w:hAnsi="宋体" w:cs="宋体"/>
          <w:color w:val="auto"/>
          <w:sz w:val="24"/>
          <w:szCs w:val="24"/>
          <w:lang w:val="en-US" w:eastAsia="zh-CN"/>
        </w:rPr>
        <w:t>（2）</w:t>
      </w:r>
      <w:r>
        <w:rPr>
          <w:rFonts w:hint="eastAsia" w:ascii="宋体" w:hAnsi="宋体" w:eastAsia="宋体" w:cs="宋体"/>
          <w:color w:val="auto"/>
          <w:sz w:val="24"/>
          <w:szCs w:val="24"/>
        </w:rPr>
        <w:t>处理站试运行前，应加强上岗前的教育，进行人员培训，了解设计意图，熟悉设备性能，学习、遵照操作管理规程操作。</w:t>
      </w:r>
    </w:p>
    <w:p w14:paraId="045F4C99">
      <w:pPr>
        <w:keepNext w:val="0"/>
        <w:keepLines w:val="0"/>
        <w:pageBreakBefore w:val="0"/>
        <w:widowControl w:val="0"/>
        <w:kinsoku/>
        <w:wordWrap/>
        <w:overflowPunct/>
        <w:topLinePunct w:val="0"/>
        <w:autoSpaceDE/>
        <w:autoSpaceDN/>
        <w:bidi w:val="0"/>
        <w:adjustRightInd/>
        <w:snapToGrid/>
        <w:spacing w:beforeLines="0" w:afterLines="0" w:line="360" w:lineRule="auto"/>
        <w:ind w:firstLine="480" w:firstLineChars="200"/>
        <w:textAlignment w:val="auto"/>
        <w:rPr>
          <w:rFonts w:hint="eastAsia" w:ascii="宋体" w:hAnsi="宋体" w:eastAsia="宋体" w:cs="宋体"/>
          <w:color w:val="auto"/>
          <w:sz w:val="24"/>
          <w:szCs w:val="24"/>
        </w:rPr>
      </w:pPr>
      <w:r>
        <w:rPr>
          <w:rFonts w:hint="eastAsia" w:ascii="宋体" w:hAnsi="宋体" w:cs="宋体"/>
          <w:color w:val="auto"/>
          <w:sz w:val="24"/>
          <w:szCs w:val="24"/>
          <w:lang w:val="en-US" w:eastAsia="zh-CN"/>
        </w:rPr>
        <w:t>（3）</w:t>
      </w:r>
      <w:r>
        <w:rPr>
          <w:rFonts w:hint="eastAsia" w:ascii="宋体" w:hAnsi="宋体" w:eastAsia="宋体" w:cs="宋体"/>
          <w:color w:val="auto"/>
          <w:sz w:val="24"/>
          <w:szCs w:val="24"/>
        </w:rPr>
        <w:t>处理站运行管理除按设计说明书中相关要求外，还应执行《城镇污水处理厂运行、维护及安全技术规程》CJJ60-2011中有关规定。</w:t>
      </w:r>
    </w:p>
    <w:p w14:paraId="175E45D5">
      <w:pPr>
        <w:keepNext w:val="0"/>
        <w:keepLines w:val="0"/>
        <w:pageBreakBefore w:val="0"/>
        <w:widowControl w:val="0"/>
        <w:kinsoku/>
        <w:wordWrap/>
        <w:overflowPunct/>
        <w:topLinePunct w:val="0"/>
        <w:autoSpaceDE/>
        <w:autoSpaceDN/>
        <w:bidi w:val="0"/>
        <w:adjustRightInd/>
        <w:snapToGrid/>
        <w:spacing w:beforeLines="0" w:afterLines="0" w:line="360" w:lineRule="auto"/>
        <w:ind w:firstLine="480" w:firstLineChars="200"/>
        <w:textAlignment w:val="auto"/>
        <w:rPr>
          <w:rFonts w:hint="eastAsia" w:ascii="宋体" w:hAnsi="宋体" w:eastAsia="宋体" w:cs="宋体"/>
          <w:color w:val="auto"/>
          <w:sz w:val="24"/>
          <w:szCs w:val="24"/>
        </w:rPr>
      </w:pPr>
      <w:r>
        <w:rPr>
          <w:rFonts w:hint="eastAsia" w:ascii="宋体" w:hAnsi="宋体" w:cs="宋体"/>
          <w:color w:val="auto"/>
          <w:sz w:val="24"/>
          <w:szCs w:val="24"/>
          <w:lang w:val="en-US" w:eastAsia="zh-CN"/>
        </w:rPr>
        <w:t>（4）</w:t>
      </w:r>
      <w:r>
        <w:rPr>
          <w:rFonts w:hint="eastAsia" w:ascii="宋体" w:hAnsi="宋体" w:eastAsia="宋体" w:cs="宋体"/>
          <w:color w:val="auto"/>
          <w:sz w:val="24"/>
          <w:szCs w:val="24"/>
        </w:rPr>
        <w:t>污水处理站运行前应由技术人员编制水厂操作管理规程。由于本处理站核心处理工艺为一体化设备，应请该设备厂家参与操作管理规程的编制。</w:t>
      </w:r>
    </w:p>
    <w:p w14:paraId="1F0AE7C5">
      <w:pPr>
        <w:keepNext w:val="0"/>
        <w:keepLines w:val="0"/>
        <w:pageBreakBefore w:val="0"/>
        <w:widowControl w:val="0"/>
        <w:kinsoku/>
        <w:wordWrap/>
        <w:overflowPunct/>
        <w:topLinePunct w:val="0"/>
        <w:autoSpaceDE/>
        <w:autoSpaceDN/>
        <w:bidi w:val="0"/>
        <w:adjustRightInd/>
        <w:snapToGrid/>
        <w:spacing w:beforeLines="0" w:afterLines="0" w:line="360" w:lineRule="auto"/>
        <w:ind w:firstLine="480" w:firstLineChars="200"/>
        <w:textAlignment w:val="auto"/>
        <w:rPr>
          <w:rFonts w:hint="eastAsia" w:ascii="宋体" w:hAnsi="宋体" w:eastAsia="宋体" w:cs="宋体"/>
          <w:color w:val="auto"/>
          <w:sz w:val="24"/>
          <w:szCs w:val="24"/>
        </w:rPr>
      </w:pPr>
      <w:r>
        <w:rPr>
          <w:rFonts w:hint="eastAsia" w:ascii="宋体" w:hAnsi="宋体" w:cs="宋体"/>
          <w:color w:val="auto"/>
          <w:sz w:val="24"/>
          <w:szCs w:val="24"/>
          <w:lang w:val="en-US" w:eastAsia="zh-CN"/>
        </w:rPr>
        <w:t>（5）</w:t>
      </w:r>
      <w:r>
        <w:rPr>
          <w:rFonts w:hint="eastAsia" w:ascii="宋体" w:hAnsi="宋体" w:eastAsia="宋体" w:cs="宋体"/>
          <w:color w:val="auto"/>
          <w:sz w:val="24"/>
          <w:szCs w:val="24"/>
        </w:rPr>
        <w:t>设备操作管理应严格遵守供货方有关的安装、调试、使用说明中的要求。</w:t>
      </w:r>
    </w:p>
    <w:p w14:paraId="6B60C1BE">
      <w:pPr>
        <w:keepNext w:val="0"/>
        <w:keepLines w:val="0"/>
        <w:pageBreakBefore w:val="0"/>
        <w:widowControl w:val="0"/>
        <w:kinsoku/>
        <w:wordWrap/>
        <w:overflowPunct/>
        <w:topLinePunct w:val="0"/>
        <w:autoSpaceDE/>
        <w:autoSpaceDN/>
        <w:bidi w:val="0"/>
        <w:adjustRightInd/>
        <w:snapToGrid/>
        <w:spacing w:beforeLines="0" w:afterLines="0" w:line="360" w:lineRule="auto"/>
        <w:ind w:firstLine="480" w:firstLineChars="200"/>
        <w:textAlignment w:val="auto"/>
        <w:rPr>
          <w:rFonts w:hint="eastAsia" w:ascii="宋体" w:hAnsi="宋体" w:eastAsia="宋体" w:cs="宋体"/>
          <w:color w:val="auto"/>
          <w:sz w:val="24"/>
          <w:szCs w:val="24"/>
        </w:rPr>
      </w:pPr>
      <w:r>
        <w:rPr>
          <w:rFonts w:hint="eastAsia" w:ascii="宋体" w:hAnsi="宋体" w:cs="宋体"/>
          <w:color w:val="auto"/>
          <w:sz w:val="24"/>
          <w:szCs w:val="24"/>
          <w:lang w:val="en-US" w:eastAsia="zh-CN"/>
        </w:rPr>
        <w:t>（6）</w:t>
      </w:r>
      <w:r>
        <w:rPr>
          <w:rFonts w:hint="eastAsia" w:ascii="宋体" w:hAnsi="宋体" w:eastAsia="宋体" w:cs="宋体"/>
          <w:color w:val="auto"/>
          <w:sz w:val="24"/>
          <w:szCs w:val="24"/>
        </w:rPr>
        <w:t>所有管道施工安装时应在适当位置（地坪、池壁上、拐弯处及三通处）采用管卡。</w:t>
      </w:r>
    </w:p>
    <w:p w14:paraId="28755403">
      <w:pPr>
        <w:keepNext w:val="0"/>
        <w:keepLines w:val="0"/>
        <w:pageBreakBefore w:val="0"/>
        <w:widowControl w:val="0"/>
        <w:kinsoku/>
        <w:wordWrap/>
        <w:overflowPunct/>
        <w:topLinePunct w:val="0"/>
        <w:autoSpaceDE/>
        <w:autoSpaceDN/>
        <w:bidi w:val="0"/>
        <w:adjustRightInd/>
        <w:snapToGrid/>
        <w:spacing w:beforeLines="0" w:afterLines="0" w:line="360" w:lineRule="auto"/>
        <w:ind w:firstLine="480" w:firstLineChars="200"/>
        <w:textAlignment w:val="auto"/>
        <w:rPr>
          <w:rFonts w:hint="eastAsia" w:ascii="宋体" w:hAnsi="宋体" w:eastAsia="宋体" w:cs="宋体"/>
          <w:color w:val="auto"/>
          <w:sz w:val="24"/>
          <w:szCs w:val="24"/>
        </w:rPr>
      </w:pPr>
      <w:r>
        <w:rPr>
          <w:rFonts w:hint="eastAsia" w:ascii="宋体" w:hAnsi="宋体" w:cs="宋体"/>
          <w:color w:val="auto"/>
          <w:sz w:val="24"/>
          <w:szCs w:val="24"/>
          <w:lang w:val="en-US" w:eastAsia="zh-CN"/>
        </w:rPr>
        <w:t>（7）</w:t>
      </w:r>
      <w:r>
        <w:rPr>
          <w:rFonts w:hint="eastAsia" w:ascii="宋体" w:hAnsi="宋体" w:eastAsia="宋体" w:cs="宋体"/>
          <w:color w:val="auto"/>
          <w:sz w:val="24"/>
          <w:szCs w:val="24"/>
        </w:rPr>
        <w:t>所有设备基础应待定货核实后，方可进行施工。</w:t>
      </w:r>
    </w:p>
    <w:p w14:paraId="3050DD2C">
      <w:pPr>
        <w:pStyle w:val="3"/>
        <w:keepNext/>
        <w:keepLines/>
        <w:pageBreakBefore w:val="0"/>
        <w:widowControl w:val="0"/>
        <w:kinsoku/>
        <w:wordWrap/>
        <w:overflowPunct/>
        <w:topLinePunct w:val="0"/>
        <w:autoSpaceDE/>
        <w:autoSpaceDN/>
        <w:bidi w:val="0"/>
        <w:adjustRightInd/>
        <w:snapToGrid/>
        <w:spacing w:before="0" w:after="0" w:line="360" w:lineRule="auto"/>
        <w:ind w:firstLine="482" w:firstLineChars="200"/>
        <w:jc w:val="left"/>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二</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电气</w:t>
      </w:r>
      <w:r>
        <w:rPr>
          <w:rFonts w:hint="eastAsia" w:ascii="宋体" w:hAnsi="宋体" w:eastAsia="宋体" w:cs="宋体"/>
          <w:color w:val="auto"/>
          <w:sz w:val="24"/>
          <w:szCs w:val="24"/>
          <w:lang w:val="en-US" w:eastAsia="zh-CN"/>
        </w:rPr>
        <w:t>设计</w:t>
      </w:r>
    </w:p>
    <w:p w14:paraId="79443244">
      <w:pPr>
        <w:pStyle w:val="71"/>
        <w:snapToGrid/>
        <w:ind w:firstLine="480"/>
        <w:rPr>
          <w:rFonts w:hint="eastAsia" w:ascii="宋体" w:hAnsi="宋体" w:eastAsia="宋体" w:cs="宋体"/>
          <w:snapToGrid w:val="0"/>
          <w:color w:val="auto"/>
          <w:kern w:val="0"/>
        </w:rPr>
      </w:pPr>
      <w:r>
        <w:rPr>
          <w:rFonts w:hint="eastAsia" w:ascii="宋体" w:hAnsi="宋体" w:cs="宋体"/>
          <w:snapToGrid w:val="0"/>
          <w:color w:val="auto"/>
          <w:kern w:val="0"/>
          <w:lang w:val="en-US" w:eastAsia="zh-CN"/>
        </w:rPr>
        <w:t>1、</w:t>
      </w:r>
      <w:r>
        <w:rPr>
          <w:rFonts w:hint="eastAsia" w:ascii="宋体" w:hAnsi="宋体" w:eastAsia="宋体" w:cs="宋体"/>
          <w:snapToGrid w:val="0"/>
          <w:color w:val="auto"/>
          <w:kern w:val="0"/>
        </w:rPr>
        <w:t>负荷计算</w:t>
      </w:r>
    </w:p>
    <w:p w14:paraId="08A41B35">
      <w:pPr>
        <w:pStyle w:val="71"/>
        <w:snapToGrid/>
        <w:ind w:firstLine="480"/>
        <w:rPr>
          <w:rFonts w:hint="eastAsia" w:ascii="宋体" w:hAnsi="宋体" w:eastAsia="宋体" w:cs="宋体"/>
          <w:snapToGrid w:val="0"/>
          <w:color w:val="auto"/>
          <w:kern w:val="0"/>
        </w:rPr>
      </w:pPr>
      <w:r>
        <w:rPr>
          <w:rFonts w:hint="eastAsia" w:ascii="宋体" w:hAnsi="宋体" w:eastAsia="宋体" w:cs="宋体"/>
          <w:snapToGrid w:val="0"/>
          <w:color w:val="auto"/>
          <w:kern w:val="0"/>
        </w:rPr>
        <w:t>根据《小城镇污水处理建设标准》，负荷等级均为三级负荷。负荷计算表详见下表：</w:t>
      </w:r>
    </w:p>
    <w:p w14:paraId="5083F129">
      <w:pPr>
        <w:pStyle w:val="71"/>
        <w:snapToGrid/>
        <w:ind w:firstLine="0" w:firstLineChars="0"/>
        <w:jc w:val="center"/>
        <w:rPr>
          <w:rFonts w:hint="eastAsia" w:ascii="宋体" w:hAnsi="宋体" w:eastAsia="宋体" w:cs="宋体"/>
          <w:b/>
          <w:bCs/>
          <w:snapToGrid w:val="0"/>
          <w:color w:val="auto"/>
          <w:kern w:val="0"/>
        </w:rPr>
      </w:pPr>
      <w:r>
        <w:rPr>
          <w:rFonts w:hint="eastAsia" w:ascii="宋体" w:hAnsi="宋体" w:eastAsia="宋体" w:cs="宋体"/>
          <w:b/>
          <w:bCs/>
          <w:snapToGrid w:val="0"/>
          <w:color w:val="auto"/>
          <w:kern w:val="0"/>
        </w:rPr>
        <w:t>负荷计算表</w:t>
      </w:r>
    </w:p>
    <w:tbl>
      <w:tblPr>
        <w:tblStyle w:val="52"/>
        <w:tblW w:w="422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38"/>
        <w:gridCol w:w="3443"/>
        <w:gridCol w:w="3923"/>
      </w:tblGrid>
      <w:tr w14:paraId="1311D2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719" w:type="pct"/>
          </w:tcPr>
          <w:p w14:paraId="394EB9E4">
            <w:pPr>
              <w:pStyle w:val="71"/>
              <w:snapToGrid/>
              <w:ind w:firstLine="0" w:firstLineChars="0"/>
              <w:jc w:val="center"/>
              <w:rPr>
                <w:rFonts w:hint="eastAsia" w:ascii="宋体" w:hAnsi="宋体" w:eastAsia="宋体" w:cs="宋体"/>
                <w:snapToGrid w:val="0"/>
                <w:color w:val="auto"/>
                <w:kern w:val="0"/>
              </w:rPr>
            </w:pPr>
            <w:r>
              <w:rPr>
                <w:rFonts w:hint="eastAsia" w:ascii="宋体" w:hAnsi="宋体" w:eastAsia="宋体" w:cs="宋体"/>
                <w:snapToGrid w:val="0"/>
                <w:color w:val="auto"/>
                <w:kern w:val="0"/>
              </w:rPr>
              <w:t>序号</w:t>
            </w:r>
          </w:p>
        </w:tc>
        <w:tc>
          <w:tcPr>
            <w:tcW w:w="2000" w:type="pct"/>
          </w:tcPr>
          <w:p w14:paraId="5DEDF99D">
            <w:pPr>
              <w:pStyle w:val="71"/>
              <w:snapToGrid/>
              <w:ind w:firstLine="0" w:firstLineChars="0"/>
              <w:jc w:val="center"/>
              <w:rPr>
                <w:rFonts w:hint="eastAsia" w:ascii="宋体" w:hAnsi="宋体" w:eastAsia="宋体" w:cs="宋体"/>
                <w:snapToGrid w:val="0"/>
                <w:color w:val="auto"/>
                <w:kern w:val="0"/>
              </w:rPr>
            </w:pPr>
            <w:r>
              <w:rPr>
                <w:rFonts w:hint="eastAsia" w:ascii="宋体" w:hAnsi="宋体" w:eastAsia="宋体" w:cs="宋体"/>
                <w:snapToGrid w:val="0"/>
                <w:color w:val="auto"/>
                <w:kern w:val="0"/>
              </w:rPr>
              <w:t>污水处理站规模</w:t>
            </w:r>
          </w:p>
        </w:tc>
        <w:tc>
          <w:tcPr>
            <w:tcW w:w="2279" w:type="pct"/>
          </w:tcPr>
          <w:p w14:paraId="1727CBFE">
            <w:pPr>
              <w:pStyle w:val="71"/>
              <w:snapToGrid/>
              <w:ind w:firstLine="0" w:firstLineChars="0"/>
              <w:jc w:val="center"/>
              <w:rPr>
                <w:rFonts w:hint="eastAsia" w:ascii="宋体" w:hAnsi="宋体" w:eastAsia="宋体" w:cs="宋体"/>
                <w:snapToGrid w:val="0"/>
                <w:color w:val="auto"/>
                <w:kern w:val="0"/>
              </w:rPr>
            </w:pPr>
            <w:r>
              <w:rPr>
                <w:rFonts w:hint="eastAsia" w:ascii="宋体" w:hAnsi="宋体" w:eastAsia="宋体" w:cs="宋体"/>
                <w:snapToGrid w:val="0"/>
                <w:color w:val="auto"/>
                <w:kern w:val="0"/>
              </w:rPr>
              <w:t>用电负荷</w:t>
            </w:r>
          </w:p>
        </w:tc>
      </w:tr>
      <w:tr w14:paraId="130425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9" w:type="pct"/>
          </w:tcPr>
          <w:p w14:paraId="0E16C30B">
            <w:pPr>
              <w:pStyle w:val="71"/>
              <w:snapToGrid/>
              <w:ind w:firstLine="0" w:firstLineChars="0"/>
              <w:jc w:val="center"/>
              <w:rPr>
                <w:rFonts w:hint="eastAsia" w:ascii="宋体" w:hAnsi="宋体" w:eastAsia="宋体" w:cs="宋体"/>
                <w:snapToGrid w:val="0"/>
                <w:color w:val="auto"/>
                <w:kern w:val="0"/>
                <w:lang w:eastAsia="zh-CN"/>
              </w:rPr>
            </w:pPr>
            <w:r>
              <w:rPr>
                <w:rFonts w:hint="eastAsia" w:ascii="宋体" w:hAnsi="宋体" w:eastAsia="宋体" w:cs="宋体"/>
                <w:snapToGrid w:val="0"/>
                <w:color w:val="auto"/>
                <w:kern w:val="0"/>
                <w:lang w:val="en-US" w:eastAsia="zh-CN"/>
              </w:rPr>
              <w:t>1</w:t>
            </w:r>
          </w:p>
        </w:tc>
        <w:tc>
          <w:tcPr>
            <w:tcW w:w="2000" w:type="pct"/>
          </w:tcPr>
          <w:p w14:paraId="38E11FF6">
            <w:pPr>
              <w:pStyle w:val="71"/>
              <w:snapToGrid/>
              <w:ind w:firstLine="0" w:firstLineChars="0"/>
              <w:jc w:val="center"/>
              <w:rPr>
                <w:rFonts w:hint="eastAsia" w:ascii="宋体" w:hAnsi="宋体" w:eastAsia="宋体" w:cs="宋体"/>
                <w:snapToGrid w:val="0"/>
                <w:color w:val="auto"/>
                <w:kern w:val="0"/>
              </w:rPr>
            </w:pPr>
            <w:r>
              <w:rPr>
                <w:rFonts w:hint="eastAsia" w:ascii="宋体" w:hAnsi="宋体" w:cs="宋体"/>
                <w:snapToGrid w:val="0"/>
                <w:color w:val="auto"/>
                <w:kern w:val="0"/>
                <w:lang w:val="en-US" w:eastAsia="zh-CN"/>
              </w:rPr>
              <w:t>8</w:t>
            </w:r>
            <w:r>
              <w:rPr>
                <w:rFonts w:hint="eastAsia" w:ascii="宋体" w:hAnsi="宋体" w:eastAsia="宋体" w:cs="宋体"/>
                <w:snapToGrid w:val="0"/>
                <w:color w:val="auto"/>
                <w:kern w:val="0"/>
                <w:lang w:val="en-US" w:eastAsia="zh-CN"/>
              </w:rPr>
              <w:t>0</w:t>
            </w:r>
            <w:r>
              <w:rPr>
                <w:rFonts w:hint="eastAsia" w:ascii="宋体" w:hAnsi="宋体" w:eastAsia="宋体" w:cs="宋体"/>
                <w:snapToGrid w:val="0"/>
                <w:color w:val="auto"/>
                <w:kern w:val="0"/>
              </w:rPr>
              <w:t>m</w:t>
            </w:r>
            <w:r>
              <w:rPr>
                <w:rFonts w:hint="eastAsia" w:ascii="宋体" w:hAnsi="宋体" w:eastAsia="宋体" w:cs="宋体"/>
                <w:snapToGrid w:val="0"/>
                <w:color w:val="auto"/>
                <w:kern w:val="0"/>
                <w:vertAlign w:val="superscript"/>
              </w:rPr>
              <w:t>3</w:t>
            </w:r>
          </w:p>
        </w:tc>
        <w:tc>
          <w:tcPr>
            <w:tcW w:w="2279" w:type="pct"/>
          </w:tcPr>
          <w:p w14:paraId="18AFBF19">
            <w:pPr>
              <w:pStyle w:val="71"/>
              <w:snapToGrid/>
              <w:ind w:firstLine="0" w:firstLineChars="0"/>
              <w:jc w:val="center"/>
              <w:rPr>
                <w:rFonts w:hint="eastAsia" w:ascii="宋体" w:hAnsi="宋体" w:eastAsia="宋体" w:cs="宋体"/>
                <w:snapToGrid w:val="0"/>
                <w:color w:val="auto"/>
                <w:kern w:val="0"/>
              </w:rPr>
            </w:pPr>
            <w:r>
              <w:rPr>
                <w:rFonts w:hint="eastAsia" w:ascii="宋体" w:hAnsi="宋体" w:eastAsia="宋体" w:cs="宋体"/>
                <w:snapToGrid w:val="0"/>
                <w:color w:val="auto"/>
                <w:kern w:val="0"/>
                <w:lang w:val="en-US" w:eastAsia="zh-CN"/>
              </w:rPr>
              <w:t>1.</w:t>
            </w:r>
            <w:r>
              <w:rPr>
                <w:rFonts w:hint="eastAsia" w:ascii="宋体" w:hAnsi="宋体" w:cs="宋体"/>
                <w:snapToGrid w:val="0"/>
                <w:color w:val="auto"/>
                <w:kern w:val="0"/>
                <w:lang w:val="en-US" w:eastAsia="zh-CN"/>
              </w:rPr>
              <w:t>59</w:t>
            </w:r>
            <w:r>
              <w:rPr>
                <w:rFonts w:hint="eastAsia" w:ascii="宋体" w:hAnsi="宋体" w:eastAsia="宋体" w:cs="宋体"/>
                <w:snapToGrid w:val="0"/>
                <w:color w:val="auto"/>
                <w:kern w:val="0"/>
              </w:rPr>
              <w:t>kW</w:t>
            </w:r>
          </w:p>
        </w:tc>
      </w:tr>
    </w:tbl>
    <w:p w14:paraId="7754B50E">
      <w:pPr>
        <w:pStyle w:val="71"/>
        <w:snapToGrid/>
        <w:ind w:firstLine="480"/>
        <w:rPr>
          <w:rFonts w:hint="eastAsia" w:ascii="宋体" w:hAnsi="宋体" w:eastAsia="宋体" w:cs="宋体"/>
          <w:snapToGrid w:val="0"/>
          <w:color w:val="auto"/>
          <w:kern w:val="0"/>
        </w:rPr>
      </w:pPr>
      <w:r>
        <w:rPr>
          <w:rFonts w:hint="eastAsia" w:ascii="宋体" w:hAnsi="宋体" w:cs="宋体"/>
          <w:snapToGrid w:val="0"/>
          <w:color w:val="auto"/>
          <w:kern w:val="0"/>
          <w:lang w:val="en-US" w:eastAsia="zh-CN"/>
        </w:rPr>
        <w:t>2、</w:t>
      </w:r>
      <w:r>
        <w:rPr>
          <w:rFonts w:hint="eastAsia" w:ascii="宋体" w:hAnsi="宋体" w:eastAsia="宋体" w:cs="宋体"/>
          <w:snapToGrid w:val="0"/>
          <w:color w:val="auto"/>
          <w:kern w:val="0"/>
        </w:rPr>
        <w:t>供电电源</w:t>
      </w:r>
    </w:p>
    <w:p w14:paraId="76A3F0C4">
      <w:pPr>
        <w:pStyle w:val="71"/>
        <w:snapToGrid/>
        <w:ind w:firstLine="480"/>
        <w:rPr>
          <w:rFonts w:hint="eastAsia" w:ascii="宋体" w:hAnsi="宋体" w:eastAsia="宋体" w:cs="宋体"/>
          <w:snapToGrid w:val="0"/>
          <w:color w:val="auto"/>
          <w:kern w:val="0"/>
        </w:rPr>
      </w:pPr>
      <w:r>
        <w:rPr>
          <w:rFonts w:hint="eastAsia" w:ascii="宋体" w:hAnsi="宋体" w:eastAsia="宋体" w:cs="宋体"/>
          <w:snapToGrid w:val="0"/>
          <w:color w:val="auto"/>
          <w:kern w:val="0"/>
        </w:rPr>
        <w:t>经过现场调查，本次设计污水处理站所处位置农村电网丰富，均能就近接入220V农村电网。</w:t>
      </w:r>
    </w:p>
    <w:p w14:paraId="76F9C575">
      <w:pPr>
        <w:pStyle w:val="71"/>
        <w:snapToGrid/>
        <w:ind w:firstLine="480"/>
        <w:rPr>
          <w:rFonts w:hint="eastAsia" w:ascii="宋体" w:hAnsi="宋体" w:eastAsia="宋体" w:cs="宋体"/>
          <w:snapToGrid w:val="0"/>
          <w:color w:val="auto"/>
          <w:kern w:val="0"/>
        </w:rPr>
      </w:pPr>
      <w:r>
        <w:rPr>
          <w:rFonts w:hint="eastAsia" w:ascii="宋体" w:hAnsi="宋体" w:cs="宋体"/>
          <w:snapToGrid w:val="0"/>
          <w:color w:val="auto"/>
          <w:kern w:val="0"/>
          <w:lang w:val="en-US" w:eastAsia="zh-CN"/>
        </w:rPr>
        <w:t>3、</w:t>
      </w:r>
      <w:r>
        <w:rPr>
          <w:rFonts w:hint="eastAsia" w:ascii="宋体" w:hAnsi="宋体" w:eastAsia="宋体" w:cs="宋体"/>
          <w:snapToGrid w:val="0"/>
          <w:color w:val="auto"/>
          <w:kern w:val="0"/>
        </w:rPr>
        <w:t>供电设计</w:t>
      </w:r>
    </w:p>
    <w:p w14:paraId="6CC022EE">
      <w:pPr>
        <w:pStyle w:val="71"/>
        <w:snapToGrid/>
        <w:ind w:firstLine="480"/>
        <w:rPr>
          <w:rFonts w:hint="eastAsia" w:ascii="宋体" w:hAnsi="宋体" w:eastAsia="宋体" w:cs="宋体"/>
          <w:snapToGrid w:val="0"/>
          <w:color w:val="auto"/>
          <w:kern w:val="0"/>
        </w:rPr>
      </w:pPr>
      <w:r>
        <w:rPr>
          <w:rFonts w:hint="eastAsia" w:ascii="宋体" w:hAnsi="宋体" w:eastAsia="宋体" w:cs="宋体"/>
          <w:snapToGrid w:val="0"/>
          <w:color w:val="auto"/>
          <w:kern w:val="0"/>
        </w:rPr>
        <w:t>本次设计项目均为一体化处理设备，成套设备包含工艺设备、设备控制柜、设备内部连接管道及线缆等附件均由工艺设备厂家成套提供并集成于</w:t>
      </w:r>
      <w:r>
        <w:rPr>
          <w:rFonts w:hint="eastAsia" w:ascii="宋体" w:hAnsi="宋体" w:eastAsia="宋体" w:cs="宋体"/>
          <w:snapToGrid w:val="0"/>
          <w:color w:val="auto"/>
          <w:kern w:val="0"/>
          <w:lang w:val="en-US" w:eastAsia="zh-CN"/>
        </w:rPr>
        <w:t>设备</w:t>
      </w:r>
      <w:r>
        <w:rPr>
          <w:rFonts w:hint="eastAsia" w:ascii="宋体" w:hAnsi="宋体" w:eastAsia="宋体" w:cs="宋体"/>
          <w:snapToGrid w:val="0"/>
          <w:color w:val="auto"/>
          <w:kern w:val="0"/>
        </w:rPr>
        <w:t>外壳内。本次设计仅需考虑外部电源接入。采用架空线路就近接入农村电网。</w:t>
      </w:r>
    </w:p>
    <w:p w14:paraId="73DC3D47">
      <w:pPr>
        <w:pStyle w:val="71"/>
        <w:snapToGrid/>
        <w:ind w:firstLine="480"/>
        <w:rPr>
          <w:rFonts w:hint="eastAsia" w:ascii="宋体" w:hAnsi="宋体" w:eastAsia="宋体" w:cs="宋体"/>
          <w:snapToGrid w:val="0"/>
          <w:color w:val="auto"/>
          <w:kern w:val="0"/>
        </w:rPr>
      </w:pPr>
      <w:r>
        <w:rPr>
          <w:rFonts w:hint="eastAsia" w:ascii="宋体" w:hAnsi="宋体" w:cs="宋体"/>
          <w:snapToGrid w:val="0"/>
          <w:color w:val="auto"/>
          <w:kern w:val="0"/>
          <w:lang w:val="en-US" w:eastAsia="zh-CN"/>
        </w:rPr>
        <w:t>4、</w:t>
      </w:r>
      <w:r>
        <w:rPr>
          <w:rFonts w:hint="eastAsia" w:ascii="宋体" w:hAnsi="宋体" w:eastAsia="宋体" w:cs="宋体"/>
          <w:snapToGrid w:val="0"/>
          <w:color w:val="auto"/>
          <w:kern w:val="0"/>
        </w:rPr>
        <w:t>防雷接地</w:t>
      </w:r>
    </w:p>
    <w:p w14:paraId="1A734A1F">
      <w:pPr>
        <w:pStyle w:val="71"/>
        <w:snapToGrid/>
        <w:ind w:firstLine="480"/>
        <w:rPr>
          <w:rFonts w:hint="eastAsia" w:ascii="宋体" w:hAnsi="宋体" w:eastAsia="宋体" w:cs="宋体"/>
          <w:snapToGrid w:val="0"/>
          <w:color w:val="auto"/>
          <w:kern w:val="0"/>
        </w:rPr>
      </w:pPr>
      <w:r>
        <w:rPr>
          <w:rFonts w:hint="eastAsia" w:ascii="宋体" w:hAnsi="宋体" w:eastAsia="宋体" w:cs="宋体"/>
          <w:snapToGrid w:val="0"/>
          <w:color w:val="auto"/>
          <w:kern w:val="0"/>
        </w:rPr>
        <w:t>（1）项目防雷接地、工作接地、保护接地、控制系统接地采用共用接地体方式，要求共用接地体接地电阻值不大于</w:t>
      </w:r>
      <w:r>
        <w:rPr>
          <w:rFonts w:hint="eastAsia" w:ascii="宋体" w:hAnsi="宋体" w:eastAsia="宋体" w:cs="宋体"/>
          <w:snapToGrid w:val="0"/>
          <w:color w:val="auto"/>
          <w:kern w:val="0"/>
          <w:lang w:val="en-US" w:eastAsia="zh-CN"/>
        </w:rPr>
        <w:t>4</w:t>
      </w:r>
      <w:r>
        <w:rPr>
          <w:rFonts w:hint="eastAsia" w:ascii="宋体" w:hAnsi="宋体" w:eastAsia="宋体" w:cs="宋体"/>
          <w:snapToGrid w:val="0"/>
          <w:color w:val="auto"/>
          <w:kern w:val="0"/>
        </w:rPr>
        <w:t>欧姆，并于成套设备内采用等电位联接。</w:t>
      </w:r>
    </w:p>
    <w:p w14:paraId="4441F300">
      <w:pPr>
        <w:pStyle w:val="71"/>
        <w:snapToGrid/>
        <w:ind w:firstLine="480"/>
        <w:rPr>
          <w:rFonts w:hint="eastAsia" w:ascii="宋体" w:hAnsi="宋体" w:eastAsia="宋体" w:cs="宋体"/>
          <w:snapToGrid w:val="0"/>
          <w:color w:val="auto"/>
          <w:kern w:val="0"/>
        </w:rPr>
      </w:pPr>
      <w:r>
        <w:rPr>
          <w:rFonts w:hint="eastAsia" w:ascii="宋体" w:hAnsi="宋体" w:eastAsia="宋体" w:cs="宋体"/>
          <w:snapToGrid w:val="0"/>
          <w:color w:val="auto"/>
          <w:kern w:val="0"/>
        </w:rPr>
        <w:t xml:space="preserve">（2）低压配电系统采用TN-S接地形式，N线与PE线在变电所分开后不再合并。两线应以不同颜色区分，线路敷设时两线不得混接或错接。所有正常不带电，而当绝缘破坏有可能呈现电压的电气设备金属外壳、金属支架、电缆金属外皮、穿线钢管等均应可靠接PE线保护。 </w:t>
      </w:r>
    </w:p>
    <w:p w14:paraId="61B274D7">
      <w:pPr>
        <w:pStyle w:val="71"/>
        <w:snapToGrid/>
        <w:ind w:firstLine="480"/>
        <w:rPr>
          <w:rFonts w:hint="eastAsia" w:ascii="宋体" w:hAnsi="宋体" w:eastAsia="宋体" w:cs="宋体"/>
          <w:snapToGrid w:val="0"/>
          <w:color w:val="auto"/>
          <w:kern w:val="0"/>
        </w:rPr>
      </w:pPr>
      <w:r>
        <w:rPr>
          <w:rFonts w:hint="eastAsia" w:ascii="宋体" w:hAnsi="宋体" w:eastAsia="宋体" w:cs="宋体"/>
          <w:snapToGrid w:val="0"/>
          <w:color w:val="auto"/>
          <w:kern w:val="0"/>
        </w:rPr>
        <w:t>（3）处理站所有外露金属管道、金属器件均应与箱体接地网可靠连接。</w:t>
      </w:r>
    </w:p>
    <w:p w14:paraId="1E13DD5D">
      <w:pPr>
        <w:pStyle w:val="71"/>
        <w:snapToGrid/>
        <w:ind w:firstLine="480"/>
        <w:rPr>
          <w:rFonts w:hint="eastAsia" w:ascii="宋体" w:hAnsi="宋体" w:eastAsia="宋体" w:cs="宋体"/>
          <w:snapToGrid w:val="0"/>
          <w:color w:val="auto"/>
          <w:kern w:val="0"/>
        </w:rPr>
      </w:pPr>
      <w:r>
        <w:rPr>
          <w:rFonts w:hint="eastAsia" w:ascii="宋体" w:hAnsi="宋体" w:cs="宋体"/>
          <w:snapToGrid w:val="0"/>
          <w:color w:val="auto"/>
          <w:kern w:val="0"/>
          <w:lang w:val="en-US" w:eastAsia="zh-CN"/>
        </w:rPr>
        <w:t>5、</w:t>
      </w:r>
      <w:r>
        <w:rPr>
          <w:rFonts w:hint="eastAsia" w:ascii="宋体" w:hAnsi="宋体" w:eastAsia="宋体" w:cs="宋体"/>
          <w:snapToGrid w:val="0"/>
          <w:color w:val="auto"/>
          <w:kern w:val="0"/>
        </w:rPr>
        <w:t>电气抗震</w:t>
      </w:r>
    </w:p>
    <w:p w14:paraId="2EF4C1AF">
      <w:pPr>
        <w:pStyle w:val="71"/>
        <w:snapToGrid/>
        <w:ind w:firstLine="480"/>
        <w:rPr>
          <w:rFonts w:hint="eastAsia" w:ascii="宋体" w:hAnsi="宋体" w:eastAsia="宋体" w:cs="宋体"/>
          <w:snapToGrid w:val="0"/>
          <w:color w:val="auto"/>
          <w:kern w:val="0"/>
        </w:rPr>
      </w:pPr>
      <w:r>
        <w:rPr>
          <w:rFonts w:hint="eastAsia" w:ascii="宋体" w:hAnsi="宋体" w:cs="宋体"/>
          <w:snapToGrid w:val="0"/>
          <w:color w:val="auto"/>
          <w:kern w:val="0"/>
          <w:lang w:eastAsia="zh-CN"/>
        </w:rPr>
        <w:t>（</w:t>
      </w:r>
      <w:r>
        <w:rPr>
          <w:rFonts w:hint="eastAsia" w:ascii="宋体" w:hAnsi="宋体" w:cs="宋体"/>
          <w:snapToGrid w:val="0"/>
          <w:color w:val="auto"/>
          <w:kern w:val="0"/>
          <w:lang w:val="en-US" w:eastAsia="zh-CN"/>
        </w:rPr>
        <w:t>1</w:t>
      </w:r>
      <w:r>
        <w:rPr>
          <w:rFonts w:hint="eastAsia" w:ascii="宋体" w:hAnsi="宋体" w:cs="宋体"/>
          <w:snapToGrid w:val="0"/>
          <w:color w:val="auto"/>
          <w:kern w:val="0"/>
          <w:lang w:eastAsia="zh-CN"/>
        </w:rPr>
        <w:t>）</w:t>
      </w:r>
      <w:r>
        <w:rPr>
          <w:rFonts w:hint="eastAsia" w:ascii="宋体" w:hAnsi="宋体" w:eastAsia="宋体" w:cs="宋体"/>
          <w:snapToGrid w:val="0"/>
          <w:color w:val="auto"/>
          <w:kern w:val="0"/>
        </w:rPr>
        <w:t>配电箱（柜）的安装：</w:t>
      </w:r>
    </w:p>
    <w:p w14:paraId="6C28D227">
      <w:pPr>
        <w:pStyle w:val="71"/>
        <w:snapToGrid/>
        <w:ind w:firstLine="480"/>
        <w:rPr>
          <w:rFonts w:hint="eastAsia" w:ascii="宋体" w:hAnsi="宋体" w:eastAsia="宋体" w:cs="宋体"/>
          <w:snapToGrid w:val="0"/>
          <w:color w:val="auto"/>
          <w:kern w:val="0"/>
        </w:rPr>
      </w:pPr>
      <w:r>
        <w:rPr>
          <w:rFonts w:hint="eastAsia" w:ascii="宋体" w:hAnsi="宋体" w:cs="宋体"/>
          <w:snapToGrid w:val="0"/>
          <w:color w:val="auto"/>
          <w:kern w:val="0"/>
          <w:lang w:val="en-US" w:eastAsia="zh-CN"/>
        </w:rPr>
        <w:t>1）</w:t>
      </w:r>
      <w:r>
        <w:rPr>
          <w:rFonts w:hint="eastAsia" w:ascii="宋体" w:hAnsi="宋体" w:eastAsia="宋体" w:cs="宋体"/>
          <w:snapToGrid w:val="0"/>
          <w:color w:val="auto"/>
          <w:kern w:val="0"/>
        </w:rPr>
        <w:t>配电箱（柜）的安装螺栓或焊接强度应满足抗震要求；当底部安装螺栓或焊接强度不够时，应将顶部与进行连接；</w:t>
      </w:r>
    </w:p>
    <w:p w14:paraId="1C549CF9">
      <w:pPr>
        <w:pStyle w:val="71"/>
        <w:snapToGrid/>
        <w:ind w:firstLine="480"/>
        <w:rPr>
          <w:rFonts w:hint="eastAsia" w:ascii="宋体" w:hAnsi="宋体" w:eastAsia="宋体" w:cs="宋体"/>
          <w:snapToGrid w:val="0"/>
          <w:color w:val="auto"/>
          <w:kern w:val="0"/>
        </w:rPr>
      </w:pPr>
      <w:r>
        <w:rPr>
          <w:rFonts w:hint="eastAsia" w:ascii="宋体" w:hAnsi="宋体" w:cs="宋体"/>
          <w:snapToGrid w:val="0"/>
          <w:color w:val="auto"/>
          <w:kern w:val="0"/>
          <w:lang w:val="en-US" w:eastAsia="zh-CN"/>
        </w:rPr>
        <w:t>2）</w:t>
      </w:r>
      <w:r>
        <w:rPr>
          <w:rFonts w:hint="eastAsia" w:ascii="宋体" w:hAnsi="宋体" w:eastAsia="宋体" w:cs="宋体"/>
          <w:snapToGrid w:val="0"/>
          <w:color w:val="auto"/>
          <w:kern w:val="0"/>
        </w:rPr>
        <w:t>当配电箱（柜）非靠墙落地安装时，根部应采用金属膨胀螺栓或焊接的固定方式。壁式安装的配电箱与墙壁之间应采用金属膨胀螺栓连接；</w:t>
      </w:r>
    </w:p>
    <w:p w14:paraId="0F088220">
      <w:pPr>
        <w:pStyle w:val="71"/>
        <w:snapToGrid/>
        <w:ind w:firstLine="480"/>
        <w:rPr>
          <w:rFonts w:hint="eastAsia" w:ascii="宋体" w:hAnsi="宋体" w:eastAsia="宋体" w:cs="宋体"/>
          <w:snapToGrid w:val="0"/>
          <w:color w:val="auto"/>
          <w:kern w:val="0"/>
        </w:rPr>
      </w:pPr>
      <w:r>
        <w:rPr>
          <w:rFonts w:hint="eastAsia" w:ascii="宋体" w:hAnsi="宋体" w:cs="宋体"/>
          <w:snapToGrid w:val="0"/>
          <w:color w:val="auto"/>
          <w:kern w:val="0"/>
          <w:lang w:val="en-US" w:eastAsia="zh-CN"/>
        </w:rPr>
        <w:t>3）</w:t>
      </w:r>
      <w:r>
        <w:rPr>
          <w:rFonts w:hint="eastAsia" w:ascii="宋体" w:hAnsi="宋体" w:eastAsia="宋体" w:cs="宋体"/>
          <w:snapToGrid w:val="0"/>
          <w:color w:val="auto"/>
          <w:kern w:val="0"/>
        </w:rPr>
        <w:t>配电箱（柜）内的元器件应考虑与支承结构间的相互作用，元器件之间采用软连接，接线处应做防震处理；</w:t>
      </w:r>
    </w:p>
    <w:p w14:paraId="4C750188">
      <w:pPr>
        <w:pStyle w:val="71"/>
        <w:snapToGrid/>
        <w:ind w:firstLine="480"/>
        <w:rPr>
          <w:rFonts w:hint="eastAsia" w:ascii="宋体" w:hAnsi="宋体" w:eastAsia="宋体" w:cs="宋体"/>
          <w:snapToGrid w:val="0"/>
          <w:color w:val="auto"/>
          <w:kern w:val="0"/>
        </w:rPr>
      </w:pPr>
      <w:r>
        <w:rPr>
          <w:rFonts w:hint="eastAsia" w:ascii="宋体" w:hAnsi="宋体" w:cs="宋体"/>
          <w:snapToGrid w:val="0"/>
          <w:color w:val="auto"/>
          <w:kern w:val="0"/>
          <w:lang w:val="en-US" w:eastAsia="zh-CN"/>
        </w:rPr>
        <w:t>4）</w:t>
      </w:r>
      <w:r>
        <w:rPr>
          <w:rFonts w:hint="eastAsia" w:ascii="宋体" w:hAnsi="宋体" w:eastAsia="宋体" w:cs="宋体"/>
          <w:snapToGrid w:val="0"/>
          <w:color w:val="auto"/>
          <w:kern w:val="0"/>
        </w:rPr>
        <w:t>配电箱（柜）面上的仪表应与柜体组装牢固。</w:t>
      </w:r>
    </w:p>
    <w:p w14:paraId="736F3F51">
      <w:pPr>
        <w:pStyle w:val="71"/>
        <w:snapToGrid/>
        <w:ind w:firstLine="480"/>
        <w:rPr>
          <w:rFonts w:hint="eastAsia" w:ascii="宋体" w:hAnsi="宋体" w:eastAsia="宋体" w:cs="宋体"/>
          <w:snapToGrid w:val="0"/>
          <w:color w:val="auto"/>
          <w:kern w:val="0"/>
        </w:rPr>
      </w:pPr>
      <w:r>
        <w:rPr>
          <w:rFonts w:hint="eastAsia" w:ascii="宋体" w:hAnsi="宋体" w:cs="宋体"/>
          <w:snapToGrid w:val="0"/>
          <w:color w:val="auto"/>
          <w:kern w:val="0"/>
          <w:lang w:eastAsia="zh-CN"/>
        </w:rPr>
        <w:t>（</w:t>
      </w:r>
      <w:r>
        <w:rPr>
          <w:rFonts w:hint="eastAsia" w:ascii="宋体" w:hAnsi="宋体" w:cs="宋体"/>
          <w:snapToGrid w:val="0"/>
          <w:color w:val="auto"/>
          <w:kern w:val="0"/>
          <w:lang w:val="en-US" w:eastAsia="zh-CN"/>
        </w:rPr>
        <w:t>2</w:t>
      </w:r>
      <w:r>
        <w:rPr>
          <w:rFonts w:hint="eastAsia" w:ascii="宋体" w:hAnsi="宋体" w:cs="宋体"/>
          <w:snapToGrid w:val="0"/>
          <w:color w:val="auto"/>
          <w:kern w:val="0"/>
          <w:lang w:eastAsia="zh-CN"/>
        </w:rPr>
        <w:t>）</w:t>
      </w:r>
      <w:r>
        <w:rPr>
          <w:rFonts w:hint="eastAsia" w:ascii="宋体" w:hAnsi="宋体" w:eastAsia="宋体" w:cs="宋体"/>
          <w:snapToGrid w:val="0"/>
          <w:color w:val="auto"/>
          <w:kern w:val="0"/>
        </w:rPr>
        <w:t>配电导体应符合下列规定：</w:t>
      </w:r>
    </w:p>
    <w:p w14:paraId="4C2A62D4">
      <w:pPr>
        <w:pStyle w:val="71"/>
        <w:snapToGrid/>
        <w:ind w:firstLine="480"/>
        <w:rPr>
          <w:rFonts w:hint="eastAsia" w:ascii="宋体" w:hAnsi="宋体" w:eastAsia="宋体" w:cs="宋体"/>
          <w:snapToGrid w:val="0"/>
          <w:color w:val="auto"/>
          <w:kern w:val="0"/>
        </w:rPr>
      </w:pPr>
      <w:r>
        <w:rPr>
          <w:rFonts w:hint="eastAsia" w:ascii="宋体" w:hAnsi="宋体" w:cs="宋体"/>
          <w:snapToGrid w:val="0"/>
          <w:color w:val="auto"/>
          <w:kern w:val="0"/>
          <w:lang w:val="en-US" w:eastAsia="zh-CN"/>
        </w:rPr>
        <w:t>1）</w:t>
      </w:r>
      <w:r>
        <w:rPr>
          <w:rFonts w:hint="eastAsia" w:ascii="宋体" w:hAnsi="宋体" w:eastAsia="宋体" w:cs="宋体"/>
          <w:snapToGrid w:val="0"/>
          <w:color w:val="auto"/>
          <w:kern w:val="0"/>
        </w:rPr>
        <w:t>采用电缆或电线；</w:t>
      </w:r>
    </w:p>
    <w:p w14:paraId="5A84320F">
      <w:pPr>
        <w:pStyle w:val="71"/>
        <w:snapToGrid/>
        <w:ind w:firstLine="480"/>
        <w:rPr>
          <w:rFonts w:hint="eastAsia" w:ascii="宋体" w:hAnsi="宋体" w:eastAsia="宋体" w:cs="宋体"/>
          <w:snapToGrid w:val="0"/>
          <w:color w:val="auto"/>
          <w:kern w:val="0"/>
        </w:rPr>
      </w:pPr>
      <w:r>
        <w:rPr>
          <w:rFonts w:hint="eastAsia" w:ascii="宋体" w:hAnsi="宋体" w:cs="宋体"/>
          <w:snapToGrid w:val="0"/>
          <w:color w:val="auto"/>
          <w:kern w:val="0"/>
          <w:lang w:val="en-US" w:eastAsia="zh-CN"/>
        </w:rPr>
        <w:t>2）</w:t>
      </w:r>
      <w:r>
        <w:rPr>
          <w:rFonts w:hint="eastAsia" w:ascii="宋体" w:hAnsi="宋体" w:eastAsia="宋体" w:cs="宋体"/>
          <w:snapToGrid w:val="0"/>
          <w:color w:val="auto"/>
          <w:kern w:val="0"/>
        </w:rPr>
        <w:t>在电缆桥架、电缆槽盒内敷设的缆线在引进、引出和转弯处，应在长度上留有余量；</w:t>
      </w:r>
    </w:p>
    <w:p w14:paraId="00B90CA4">
      <w:pPr>
        <w:pStyle w:val="71"/>
        <w:snapToGrid/>
        <w:ind w:firstLine="480"/>
        <w:rPr>
          <w:rFonts w:hint="eastAsia" w:ascii="宋体" w:hAnsi="宋体" w:eastAsia="宋体" w:cs="宋体"/>
          <w:snapToGrid w:val="0"/>
          <w:color w:val="auto"/>
          <w:kern w:val="0"/>
        </w:rPr>
      </w:pPr>
      <w:r>
        <w:rPr>
          <w:rFonts w:hint="eastAsia" w:ascii="宋体" w:hAnsi="宋体" w:cs="宋体"/>
          <w:snapToGrid w:val="0"/>
          <w:color w:val="auto"/>
          <w:kern w:val="0"/>
          <w:lang w:val="en-US" w:eastAsia="zh-CN"/>
        </w:rPr>
        <w:t>3）</w:t>
      </w:r>
      <w:r>
        <w:rPr>
          <w:rFonts w:hint="eastAsia" w:ascii="宋体" w:hAnsi="宋体" w:eastAsia="宋体" w:cs="宋体"/>
          <w:snapToGrid w:val="0"/>
          <w:color w:val="auto"/>
          <w:kern w:val="0"/>
        </w:rPr>
        <w:t>接地线应采取防止地震时被切断的措施。</w:t>
      </w:r>
    </w:p>
    <w:p w14:paraId="5E18B957">
      <w:pPr>
        <w:pStyle w:val="71"/>
        <w:snapToGrid/>
        <w:ind w:firstLine="480"/>
        <w:rPr>
          <w:rFonts w:hint="eastAsia" w:ascii="宋体" w:hAnsi="宋体" w:eastAsia="宋体" w:cs="宋体"/>
          <w:snapToGrid w:val="0"/>
          <w:color w:val="auto"/>
          <w:kern w:val="0"/>
        </w:rPr>
      </w:pPr>
      <w:r>
        <w:rPr>
          <w:rFonts w:hint="eastAsia" w:ascii="宋体" w:hAnsi="宋体" w:cs="宋体"/>
          <w:snapToGrid w:val="0"/>
          <w:color w:val="auto"/>
          <w:kern w:val="0"/>
          <w:lang w:eastAsia="zh-CN"/>
        </w:rPr>
        <w:t>（</w:t>
      </w:r>
      <w:r>
        <w:rPr>
          <w:rFonts w:hint="eastAsia" w:ascii="宋体" w:hAnsi="宋体" w:cs="宋体"/>
          <w:snapToGrid w:val="0"/>
          <w:color w:val="auto"/>
          <w:kern w:val="0"/>
          <w:lang w:val="en-US" w:eastAsia="zh-CN"/>
        </w:rPr>
        <w:t>3</w:t>
      </w:r>
      <w:r>
        <w:rPr>
          <w:rFonts w:hint="eastAsia" w:ascii="宋体" w:hAnsi="宋体" w:cs="宋体"/>
          <w:snapToGrid w:val="0"/>
          <w:color w:val="auto"/>
          <w:kern w:val="0"/>
          <w:lang w:eastAsia="zh-CN"/>
        </w:rPr>
        <w:t>）</w:t>
      </w:r>
      <w:r>
        <w:rPr>
          <w:rFonts w:hint="eastAsia" w:ascii="宋体" w:hAnsi="宋体" w:eastAsia="宋体" w:cs="宋体"/>
          <w:snapToGrid w:val="0"/>
          <w:color w:val="auto"/>
          <w:kern w:val="0"/>
        </w:rPr>
        <w:t>电气管路敷设时应符合下列规定：</w:t>
      </w:r>
    </w:p>
    <w:p w14:paraId="3DAAAEA3">
      <w:pPr>
        <w:pStyle w:val="71"/>
        <w:snapToGrid/>
        <w:ind w:firstLine="480"/>
        <w:rPr>
          <w:rFonts w:hint="eastAsia" w:ascii="宋体" w:hAnsi="宋体" w:eastAsia="宋体" w:cs="宋体"/>
          <w:snapToGrid w:val="0"/>
          <w:color w:val="auto"/>
          <w:kern w:val="0"/>
        </w:rPr>
      </w:pPr>
      <w:r>
        <w:rPr>
          <w:rFonts w:hint="eastAsia" w:ascii="宋体" w:hAnsi="宋体" w:cs="宋体"/>
          <w:snapToGrid w:val="0"/>
          <w:color w:val="auto"/>
          <w:kern w:val="0"/>
          <w:lang w:val="en-US" w:eastAsia="zh-CN"/>
        </w:rPr>
        <w:t>1）</w:t>
      </w:r>
      <w:r>
        <w:rPr>
          <w:rFonts w:hint="eastAsia" w:ascii="宋体" w:hAnsi="宋体" w:eastAsia="宋体" w:cs="宋体"/>
          <w:snapToGrid w:val="0"/>
          <w:color w:val="auto"/>
          <w:kern w:val="0"/>
        </w:rPr>
        <w:t>线路采用金属导管、刚性塑料导管、电缆梯架或电缆槽盒敷设时，应使用刚性托架或支架固定，不宜使用吊架。当必须使用吊架时，应安装横向防晃吊架；</w:t>
      </w:r>
    </w:p>
    <w:p w14:paraId="3F0E43AA">
      <w:pPr>
        <w:pStyle w:val="71"/>
        <w:snapToGrid/>
        <w:ind w:firstLine="480"/>
        <w:rPr>
          <w:rFonts w:hint="eastAsia" w:ascii="宋体" w:hAnsi="宋体" w:eastAsia="宋体" w:cs="宋体"/>
          <w:snapToGrid w:val="0"/>
          <w:color w:val="auto"/>
          <w:kern w:val="0"/>
        </w:rPr>
      </w:pPr>
      <w:r>
        <w:rPr>
          <w:rFonts w:hint="eastAsia" w:ascii="宋体" w:hAnsi="宋体" w:cs="宋体"/>
          <w:snapToGrid w:val="0"/>
          <w:color w:val="auto"/>
          <w:kern w:val="0"/>
          <w:lang w:val="en-US" w:eastAsia="zh-CN"/>
        </w:rPr>
        <w:t>2）</w:t>
      </w:r>
      <w:r>
        <w:rPr>
          <w:rFonts w:hint="eastAsia" w:ascii="宋体" w:hAnsi="宋体" w:eastAsia="宋体" w:cs="宋体"/>
          <w:snapToGrid w:val="0"/>
          <w:color w:val="auto"/>
          <w:kern w:val="0"/>
        </w:rPr>
        <w:t>当金属导管、刚性塑料导管、电缆梯架或电缆槽盒穿越防火分区时，其缝隙应采用柔性防火封堵材料封堵，并应在贯穿部位附近设置抗震支撑；</w:t>
      </w:r>
    </w:p>
    <w:p w14:paraId="20126FFD">
      <w:pPr>
        <w:pStyle w:val="71"/>
        <w:snapToGrid/>
        <w:ind w:firstLine="480"/>
        <w:rPr>
          <w:rFonts w:hint="eastAsia" w:ascii="宋体" w:hAnsi="宋体" w:eastAsia="宋体" w:cs="宋体"/>
          <w:snapToGrid w:val="0"/>
          <w:color w:val="auto"/>
          <w:kern w:val="0"/>
        </w:rPr>
      </w:pPr>
      <w:r>
        <w:rPr>
          <w:rFonts w:hint="eastAsia" w:ascii="宋体" w:hAnsi="宋体" w:cs="宋体"/>
          <w:snapToGrid w:val="0"/>
          <w:color w:val="auto"/>
          <w:kern w:val="0"/>
          <w:lang w:val="en-US" w:eastAsia="zh-CN"/>
        </w:rPr>
        <w:t>3）</w:t>
      </w:r>
      <w:r>
        <w:rPr>
          <w:rFonts w:hint="eastAsia" w:ascii="宋体" w:hAnsi="宋体" w:eastAsia="宋体" w:cs="宋体"/>
          <w:snapToGrid w:val="0"/>
          <w:color w:val="auto"/>
          <w:kern w:val="0"/>
        </w:rPr>
        <w:t>金属导管、刚性塑料导管的直线段部分每隔30m应设置伸缩节。</w:t>
      </w:r>
    </w:p>
    <w:p w14:paraId="6B37DEE0">
      <w:pPr>
        <w:pStyle w:val="71"/>
        <w:snapToGrid/>
        <w:ind w:firstLine="480"/>
        <w:rPr>
          <w:rFonts w:hint="eastAsia" w:ascii="宋体" w:hAnsi="宋体" w:eastAsia="宋体" w:cs="宋体"/>
          <w:b/>
          <w:bCs/>
          <w:snapToGrid w:val="0"/>
          <w:color w:val="auto"/>
          <w:kern w:val="0"/>
        </w:rPr>
      </w:pPr>
      <w:r>
        <w:rPr>
          <w:rFonts w:hint="eastAsia" w:ascii="宋体" w:hAnsi="宋体" w:cs="宋体"/>
          <w:b/>
          <w:bCs/>
          <w:snapToGrid w:val="0"/>
          <w:color w:val="auto"/>
          <w:kern w:val="0"/>
          <w:lang w:val="en-US" w:eastAsia="zh-CN"/>
        </w:rPr>
        <w:t>6、</w:t>
      </w:r>
      <w:r>
        <w:rPr>
          <w:rFonts w:hint="eastAsia" w:ascii="宋体" w:hAnsi="宋体" w:eastAsia="宋体" w:cs="宋体"/>
          <w:b/>
          <w:bCs/>
          <w:snapToGrid w:val="0"/>
          <w:color w:val="auto"/>
          <w:kern w:val="0"/>
        </w:rPr>
        <w:t>其他</w:t>
      </w:r>
    </w:p>
    <w:p w14:paraId="18350DDD">
      <w:pPr>
        <w:pStyle w:val="71"/>
        <w:snapToGrid/>
        <w:ind w:firstLine="480"/>
        <w:rPr>
          <w:rFonts w:hint="eastAsia" w:ascii="宋体" w:hAnsi="宋体" w:eastAsia="宋体" w:cs="宋体"/>
          <w:snapToGrid w:val="0"/>
          <w:color w:val="auto"/>
          <w:kern w:val="0"/>
        </w:rPr>
      </w:pPr>
      <w:r>
        <w:rPr>
          <w:rFonts w:hint="eastAsia" w:ascii="宋体" w:hAnsi="宋体" w:cs="宋体"/>
          <w:snapToGrid w:val="0"/>
          <w:color w:val="auto"/>
          <w:kern w:val="0"/>
          <w:lang w:eastAsia="zh-CN"/>
        </w:rPr>
        <w:t>（</w:t>
      </w:r>
      <w:r>
        <w:rPr>
          <w:rFonts w:hint="eastAsia" w:ascii="宋体" w:hAnsi="宋体" w:cs="宋体"/>
          <w:snapToGrid w:val="0"/>
          <w:color w:val="auto"/>
          <w:kern w:val="0"/>
          <w:lang w:val="en-US" w:eastAsia="zh-CN"/>
        </w:rPr>
        <w:t>1</w:t>
      </w:r>
      <w:r>
        <w:rPr>
          <w:rFonts w:hint="eastAsia" w:ascii="宋体" w:hAnsi="宋体" w:cs="宋体"/>
          <w:snapToGrid w:val="0"/>
          <w:color w:val="auto"/>
          <w:kern w:val="0"/>
          <w:lang w:eastAsia="zh-CN"/>
        </w:rPr>
        <w:t>）</w:t>
      </w:r>
      <w:r>
        <w:rPr>
          <w:rFonts w:hint="eastAsia" w:ascii="宋体" w:hAnsi="宋体" w:eastAsia="宋体" w:cs="宋体"/>
          <w:snapToGrid w:val="0"/>
          <w:color w:val="auto"/>
          <w:kern w:val="0"/>
        </w:rPr>
        <w:t>凡与施工有关而又未说明之处，参见国家标准图集施工，或与设计院协商解决。</w:t>
      </w:r>
    </w:p>
    <w:p w14:paraId="29754CE7">
      <w:pPr>
        <w:pStyle w:val="71"/>
        <w:snapToGrid/>
        <w:ind w:firstLine="480"/>
        <w:rPr>
          <w:rFonts w:hint="eastAsia" w:ascii="宋体" w:hAnsi="宋体" w:eastAsia="宋体" w:cs="宋体"/>
          <w:snapToGrid w:val="0"/>
          <w:color w:val="auto"/>
          <w:kern w:val="0"/>
        </w:rPr>
      </w:pPr>
      <w:r>
        <w:rPr>
          <w:rFonts w:hint="eastAsia" w:ascii="宋体" w:hAnsi="宋体" w:cs="宋体"/>
          <w:snapToGrid w:val="0"/>
          <w:color w:val="auto"/>
          <w:kern w:val="0"/>
          <w:lang w:eastAsia="zh-CN"/>
        </w:rPr>
        <w:t>（</w:t>
      </w:r>
      <w:r>
        <w:rPr>
          <w:rFonts w:hint="eastAsia" w:ascii="宋体" w:hAnsi="宋体" w:cs="宋体"/>
          <w:snapToGrid w:val="0"/>
          <w:color w:val="auto"/>
          <w:kern w:val="0"/>
          <w:lang w:val="en-US" w:eastAsia="zh-CN"/>
        </w:rPr>
        <w:t>2</w:t>
      </w:r>
      <w:r>
        <w:rPr>
          <w:rFonts w:hint="eastAsia" w:ascii="宋体" w:hAnsi="宋体" w:cs="宋体"/>
          <w:snapToGrid w:val="0"/>
          <w:color w:val="auto"/>
          <w:kern w:val="0"/>
          <w:lang w:eastAsia="zh-CN"/>
        </w:rPr>
        <w:t>）</w:t>
      </w:r>
      <w:r>
        <w:rPr>
          <w:rFonts w:hint="eastAsia" w:ascii="宋体" w:hAnsi="宋体" w:eastAsia="宋体" w:cs="宋体"/>
          <w:snapToGrid w:val="0"/>
          <w:color w:val="auto"/>
          <w:kern w:val="0"/>
        </w:rPr>
        <w:t>施工时电气安装人员应与土建施工密切配合，做好电气管线的预埋，有关箱体的预留孔洞以及接地等工作。</w:t>
      </w:r>
    </w:p>
    <w:p w14:paraId="11BB394D">
      <w:pPr>
        <w:pStyle w:val="71"/>
        <w:snapToGrid/>
        <w:ind w:firstLine="480"/>
        <w:rPr>
          <w:rFonts w:hint="eastAsia" w:ascii="宋体" w:hAnsi="宋体" w:eastAsia="宋体" w:cs="宋体"/>
          <w:snapToGrid w:val="0"/>
          <w:color w:val="auto"/>
          <w:kern w:val="0"/>
        </w:rPr>
      </w:pPr>
      <w:r>
        <w:rPr>
          <w:rFonts w:hint="eastAsia" w:ascii="宋体" w:hAnsi="宋体" w:cs="宋体"/>
          <w:snapToGrid w:val="0"/>
          <w:color w:val="auto"/>
          <w:kern w:val="0"/>
          <w:lang w:eastAsia="zh-CN"/>
        </w:rPr>
        <w:t>（</w:t>
      </w:r>
      <w:r>
        <w:rPr>
          <w:rFonts w:hint="eastAsia" w:ascii="宋体" w:hAnsi="宋体" w:cs="宋体"/>
          <w:snapToGrid w:val="0"/>
          <w:color w:val="auto"/>
          <w:kern w:val="0"/>
          <w:lang w:val="en-US" w:eastAsia="zh-CN"/>
        </w:rPr>
        <w:t>3</w:t>
      </w:r>
      <w:r>
        <w:rPr>
          <w:rFonts w:hint="eastAsia" w:ascii="宋体" w:hAnsi="宋体" w:cs="宋体"/>
          <w:snapToGrid w:val="0"/>
          <w:color w:val="auto"/>
          <w:kern w:val="0"/>
          <w:lang w:eastAsia="zh-CN"/>
        </w:rPr>
        <w:t>）</w:t>
      </w:r>
      <w:r>
        <w:rPr>
          <w:rFonts w:hint="eastAsia" w:ascii="宋体" w:hAnsi="宋体" w:eastAsia="宋体" w:cs="宋体"/>
          <w:snapToGrid w:val="0"/>
          <w:color w:val="auto"/>
          <w:kern w:val="0"/>
        </w:rPr>
        <w:t>电气设备及管线的安装应符合国家现行的电气装置安装工程施工及验收规范。</w:t>
      </w:r>
    </w:p>
    <w:p w14:paraId="59599832">
      <w:pPr>
        <w:pStyle w:val="71"/>
        <w:snapToGrid/>
        <w:ind w:firstLine="480"/>
        <w:rPr>
          <w:rFonts w:hint="eastAsia" w:ascii="宋体" w:hAnsi="宋体" w:eastAsia="宋体" w:cs="宋体"/>
          <w:snapToGrid w:val="0"/>
          <w:color w:val="auto"/>
          <w:kern w:val="0"/>
        </w:rPr>
      </w:pPr>
      <w:r>
        <w:rPr>
          <w:rFonts w:hint="eastAsia" w:ascii="宋体" w:hAnsi="宋体" w:cs="宋体"/>
          <w:snapToGrid w:val="0"/>
          <w:color w:val="auto"/>
          <w:kern w:val="0"/>
          <w:lang w:eastAsia="zh-CN"/>
        </w:rPr>
        <w:t>（</w:t>
      </w:r>
      <w:r>
        <w:rPr>
          <w:rFonts w:hint="eastAsia" w:ascii="宋体" w:hAnsi="宋体" w:cs="宋体"/>
          <w:snapToGrid w:val="0"/>
          <w:color w:val="auto"/>
          <w:kern w:val="0"/>
          <w:lang w:val="en-US" w:eastAsia="zh-CN"/>
        </w:rPr>
        <w:t>4</w:t>
      </w:r>
      <w:r>
        <w:rPr>
          <w:rFonts w:hint="eastAsia" w:ascii="宋体" w:hAnsi="宋体" w:cs="宋体"/>
          <w:snapToGrid w:val="0"/>
          <w:color w:val="auto"/>
          <w:kern w:val="0"/>
          <w:lang w:eastAsia="zh-CN"/>
        </w:rPr>
        <w:t>）</w:t>
      </w:r>
      <w:r>
        <w:rPr>
          <w:rFonts w:hint="eastAsia" w:ascii="宋体" w:hAnsi="宋体" w:eastAsia="宋体" w:cs="宋体"/>
          <w:snapToGrid w:val="0"/>
          <w:color w:val="auto"/>
          <w:kern w:val="0"/>
        </w:rPr>
        <w:t>在厂家深化设计及提供的配套系统和施工时应严格执行《城镇给水排水技术规范》GB50788-2012第7.1、7.3、7.4节对电气专业、自控系统的要求。</w:t>
      </w:r>
    </w:p>
    <w:p w14:paraId="710BC2C6">
      <w:pPr>
        <w:pStyle w:val="71"/>
        <w:snapToGrid/>
        <w:ind w:firstLine="480"/>
        <w:rPr>
          <w:rFonts w:hint="eastAsia" w:ascii="宋体" w:hAnsi="宋体" w:eastAsia="宋体" w:cs="宋体"/>
          <w:snapToGrid w:val="0"/>
          <w:color w:val="auto"/>
          <w:kern w:val="0"/>
        </w:rPr>
      </w:pPr>
      <w:r>
        <w:rPr>
          <w:rFonts w:hint="eastAsia" w:ascii="宋体" w:hAnsi="宋体" w:cs="宋体"/>
          <w:snapToGrid w:val="0"/>
          <w:color w:val="auto"/>
          <w:kern w:val="0"/>
          <w:lang w:eastAsia="zh-CN"/>
        </w:rPr>
        <w:t>（</w:t>
      </w:r>
      <w:r>
        <w:rPr>
          <w:rFonts w:hint="eastAsia" w:ascii="宋体" w:hAnsi="宋体" w:cs="宋体"/>
          <w:snapToGrid w:val="0"/>
          <w:color w:val="auto"/>
          <w:kern w:val="0"/>
          <w:lang w:val="en-US" w:eastAsia="zh-CN"/>
        </w:rPr>
        <w:t>5</w:t>
      </w:r>
      <w:r>
        <w:rPr>
          <w:rFonts w:hint="eastAsia" w:ascii="宋体" w:hAnsi="宋体" w:cs="宋体"/>
          <w:snapToGrid w:val="0"/>
          <w:color w:val="auto"/>
          <w:kern w:val="0"/>
          <w:lang w:eastAsia="zh-CN"/>
        </w:rPr>
        <w:t>）</w:t>
      </w:r>
      <w:r>
        <w:rPr>
          <w:rFonts w:hint="eastAsia" w:ascii="宋体" w:hAnsi="宋体" w:eastAsia="宋体" w:cs="宋体"/>
          <w:snapToGrid w:val="0"/>
          <w:color w:val="auto"/>
          <w:kern w:val="0"/>
        </w:rPr>
        <w:t>厂家提供配电电气设备及系统时以及施工时还应严格执行CJJ 120-2018，第4、5章中相应的电气和自动控制系统要求。</w:t>
      </w:r>
    </w:p>
    <w:p w14:paraId="70AA9A1E">
      <w:pPr>
        <w:pStyle w:val="71"/>
        <w:snapToGrid/>
        <w:ind w:firstLine="480"/>
        <w:rPr>
          <w:rFonts w:hint="eastAsia" w:ascii="宋体" w:hAnsi="宋体" w:eastAsia="宋体" w:cs="宋体"/>
          <w:snapToGrid w:val="0"/>
          <w:color w:val="auto"/>
          <w:kern w:val="0"/>
        </w:rPr>
      </w:pPr>
      <w:r>
        <w:rPr>
          <w:rFonts w:hint="eastAsia" w:ascii="宋体" w:hAnsi="宋体" w:cs="宋体"/>
          <w:snapToGrid w:val="0"/>
          <w:color w:val="auto"/>
          <w:kern w:val="0"/>
          <w:lang w:eastAsia="zh-CN"/>
        </w:rPr>
        <w:t>（</w:t>
      </w:r>
      <w:r>
        <w:rPr>
          <w:rFonts w:hint="eastAsia" w:ascii="宋体" w:hAnsi="宋体" w:cs="宋体"/>
          <w:snapToGrid w:val="0"/>
          <w:color w:val="auto"/>
          <w:kern w:val="0"/>
          <w:lang w:val="en-US" w:eastAsia="zh-CN"/>
        </w:rPr>
        <w:t>6</w:t>
      </w:r>
      <w:r>
        <w:rPr>
          <w:rFonts w:hint="eastAsia" w:ascii="宋体" w:hAnsi="宋体" w:cs="宋体"/>
          <w:snapToGrid w:val="0"/>
          <w:color w:val="auto"/>
          <w:kern w:val="0"/>
          <w:lang w:eastAsia="zh-CN"/>
        </w:rPr>
        <w:t>）</w:t>
      </w:r>
      <w:r>
        <w:rPr>
          <w:rFonts w:hint="eastAsia" w:ascii="宋体" w:hAnsi="宋体" w:eastAsia="宋体" w:cs="宋体"/>
          <w:snapToGrid w:val="0"/>
          <w:color w:val="auto"/>
          <w:kern w:val="0"/>
        </w:rPr>
        <w:t>本工程应满足GB51348-2019，3.2.1、3.2.8、3.3.4、4.10.1、8.1.6、9.4.5、11.8.8、12.4.10、12.4.14、12.5.8、14.4.3、14.9.4条的要求。</w:t>
      </w:r>
    </w:p>
    <w:p w14:paraId="07DE0655">
      <w:pPr>
        <w:pStyle w:val="71"/>
        <w:snapToGrid/>
        <w:ind w:firstLine="480"/>
        <w:rPr>
          <w:rFonts w:hint="eastAsia" w:ascii="宋体" w:hAnsi="宋体" w:eastAsia="宋体" w:cs="宋体"/>
          <w:snapToGrid w:val="0"/>
          <w:color w:val="auto"/>
          <w:kern w:val="0"/>
        </w:rPr>
      </w:pPr>
      <w:r>
        <w:rPr>
          <w:rFonts w:hint="eastAsia" w:ascii="宋体" w:hAnsi="宋体" w:cs="宋体"/>
          <w:snapToGrid w:val="0"/>
          <w:color w:val="auto"/>
          <w:kern w:val="0"/>
          <w:lang w:eastAsia="zh-CN"/>
        </w:rPr>
        <w:t>（</w:t>
      </w:r>
      <w:r>
        <w:rPr>
          <w:rFonts w:hint="eastAsia" w:ascii="宋体" w:hAnsi="宋体" w:cs="宋体"/>
          <w:snapToGrid w:val="0"/>
          <w:color w:val="auto"/>
          <w:kern w:val="0"/>
          <w:lang w:val="en-US" w:eastAsia="zh-CN"/>
        </w:rPr>
        <w:t>7</w:t>
      </w:r>
      <w:r>
        <w:rPr>
          <w:rFonts w:hint="eastAsia" w:ascii="宋体" w:hAnsi="宋体" w:cs="宋体"/>
          <w:snapToGrid w:val="0"/>
          <w:color w:val="auto"/>
          <w:kern w:val="0"/>
          <w:lang w:eastAsia="zh-CN"/>
        </w:rPr>
        <w:t>）</w:t>
      </w:r>
      <w:r>
        <w:rPr>
          <w:rFonts w:hint="eastAsia" w:ascii="宋体" w:hAnsi="宋体" w:eastAsia="宋体" w:cs="宋体"/>
          <w:snapToGrid w:val="0"/>
          <w:color w:val="auto"/>
          <w:kern w:val="0"/>
        </w:rPr>
        <w:t>在施工时应严格执行GB50303-2015、GB50617-2010等施工及验收规范的要求。</w:t>
      </w:r>
    </w:p>
    <w:p w14:paraId="09DA197D">
      <w:pPr>
        <w:pStyle w:val="71"/>
        <w:snapToGrid/>
        <w:ind w:firstLine="480"/>
        <w:rPr>
          <w:rFonts w:hint="eastAsia" w:ascii="宋体" w:hAnsi="宋体" w:eastAsia="宋体" w:cs="宋体"/>
          <w:snapToGrid w:val="0"/>
          <w:color w:val="auto"/>
          <w:kern w:val="0"/>
          <w:lang w:eastAsia="zh-CN"/>
        </w:rPr>
      </w:pPr>
      <w:r>
        <w:rPr>
          <w:rFonts w:hint="eastAsia" w:ascii="宋体" w:hAnsi="宋体" w:cs="宋体"/>
          <w:snapToGrid w:val="0"/>
          <w:color w:val="auto"/>
          <w:kern w:val="0"/>
          <w:lang w:eastAsia="zh-CN"/>
        </w:rPr>
        <w:t>（</w:t>
      </w:r>
      <w:r>
        <w:rPr>
          <w:rFonts w:hint="eastAsia" w:ascii="宋体" w:hAnsi="宋体" w:cs="宋体"/>
          <w:snapToGrid w:val="0"/>
          <w:color w:val="auto"/>
          <w:kern w:val="0"/>
          <w:lang w:val="en-US" w:eastAsia="zh-CN"/>
        </w:rPr>
        <w:t>8</w:t>
      </w:r>
      <w:r>
        <w:rPr>
          <w:rFonts w:hint="eastAsia" w:ascii="宋体" w:hAnsi="宋体" w:cs="宋体"/>
          <w:snapToGrid w:val="0"/>
          <w:color w:val="auto"/>
          <w:kern w:val="0"/>
          <w:lang w:eastAsia="zh-CN"/>
        </w:rPr>
        <w:t>）</w:t>
      </w:r>
      <w:r>
        <w:rPr>
          <w:rFonts w:hint="eastAsia" w:ascii="宋体" w:hAnsi="宋体" w:eastAsia="宋体" w:cs="宋体"/>
          <w:snapToGrid w:val="0"/>
          <w:color w:val="auto"/>
          <w:kern w:val="0"/>
        </w:rPr>
        <w:t>本工程在厂家深化设计及提供的配套系统和施工时应严格执行《城镇给水排水技术规范》GB50788-2012第7.1、7.3、7.4节</w:t>
      </w:r>
      <w:r>
        <w:rPr>
          <w:rFonts w:hint="eastAsia" w:ascii="宋体" w:hAnsi="宋体" w:eastAsia="宋体" w:cs="宋体"/>
          <w:snapToGrid w:val="0"/>
          <w:color w:val="auto"/>
          <w:kern w:val="0"/>
          <w:lang w:eastAsia="zh-CN"/>
        </w:rPr>
        <w:t>。</w:t>
      </w:r>
    </w:p>
    <w:p w14:paraId="1E5EED35">
      <w:pPr>
        <w:pStyle w:val="71"/>
        <w:snapToGrid/>
        <w:ind w:firstLine="480"/>
        <w:rPr>
          <w:rFonts w:hint="eastAsia" w:ascii="宋体" w:hAnsi="宋体" w:eastAsia="宋体" w:cs="宋体"/>
          <w:b/>
          <w:bCs/>
          <w:color w:val="auto"/>
          <w:kern w:val="2"/>
          <w:sz w:val="24"/>
          <w:szCs w:val="24"/>
          <w:lang w:val="en-US" w:eastAsia="zh-CN" w:bidi="ar-SA"/>
        </w:rPr>
      </w:pPr>
      <w:r>
        <w:rPr>
          <w:rFonts w:hint="eastAsia" w:ascii="宋体" w:hAnsi="宋体" w:eastAsia="宋体" w:cs="宋体"/>
          <w:b/>
          <w:bCs/>
          <w:color w:val="auto"/>
          <w:kern w:val="2"/>
          <w:sz w:val="24"/>
          <w:szCs w:val="24"/>
          <w:lang w:val="en-US" w:eastAsia="zh-CN" w:bidi="ar-SA"/>
        </w:rPr>
        <w:t>五、抗震论证专项说明</w:t>
      </w:r>
    </w:p>
    <w:p w14:paraId="698CBBA8">
      <w:pPr>
        <w:pStyle w:val="71"/>
        <w:snapToGrid/>
        <w:ind w:firstLine="480"/>
        <w:rPr>
          <w:rFonts w:hint="eastAsia" w:ascii="宋体" w:hAnsi="宋体" w:eastAsia="宋体" w:cs="宋体"/>
          <w:snapToGrid w:val="0"/>
          <w:color w:val="auto"/>
          <w:kern w:val="0"/>
        </w:rPr>
      </w:pPr>
      <w:r>
        <w:rPr>
          <w:rFonts w:hint="eastAsia" w:ascii="宋体" w:hAnsi="宋体" w:cs="宋体"/>
          <w:snapToGrid w:val="0"/>
          <w:color w:val="auto"/>
          <w:kern w:val="0"/>
          <w:lang w:eastAsia="zh-CN"/>
        </w:rPr>
        <w:t>（</w:t>
      </w:r>
      <w:r>
        <w:rPr>
          <w:rFonts w:hint="eastAsia" w:ascii="宋体" w:hAnsi="宋体" w:cs="宋体"/>
          <w:snapToGrid w:val="0"/>
          <w:color w:val="auto"/>
          <w:kern w:val="0"/>
          <w:lang w:val="en-US" w:eastAsia="zh-CN"/>
        </w:rPr>
        <w:t>一</w:t>
      </w:r>
      <w:r>
        <w:rPr>
          <w:rFonts w:hint="eastAsia" w:ascii="宋体" w:hAnsi="宋体" w:cs="宋体"/>
          <w:snapToGrid w:val="0"/>
          <w:color w:val="auto"/>
          <w:kern w:val="0"/>
          <w:lang w:eastAsia="zh-CN"/>
        </w:rPr>
        <w:t>）</w:t>
      </w:r>
      <w:r>
        <w:rPr>
          <w:rFonts w:hint="eastAsia" w:ascii="宋体" w:hAnsi="宋体" w:eastAsia="宋体" w:cs="宋体"/>
          <w:snapToGrid w:val="0"/>
          <w:color w:val="auto"/>
          <w:kern w:val="0"/>
        </w:rPr>
        <w:t>场地条件判断：根据地勘资料本项目所在地无不良地质构造，无液化土和软土地基等不良地质情况，适宜排水管道</w:t>
      </w:r>
      <w:r>
        <w:rPr>
          <w:rFonts w:hint="eastAsia" w:ascii="宋体" w:hAnsi="宋体" w:eastAsia="宋体" w:cs="宋体"/>
          <w:snapToGrid w:val="0"/>
          <w:color w:val="auto"/>
          <w:kern w:val="0"/>
          <w:lang w:val="en-US" w:eastAsia="zh-CN"/>
        </w:rPr>
        <w:t>及污水站的</w:t>
      </w:r>
      <w:r>
        <w:rPr>
          <w:rFonts w:hint="eastAsia" w:ascii="宋体" w:hAnsi="宋体" w:eastAsia="宋体" w:cs="宋体"/>
          <w:snapToGrid w:val="0"/>
          <w:color w:val="auto"/>
          <w:kern w:val="0"/>
        </w:rPr>
        <w:t>建设。</w:t>
      </w:r>
    </w:p>
    <w:p w14:paraId="34E15320">
      <w:pPr>
        <w:pStyle w:val="71"/>
        <w:snapToGrid/>
        <w:ind w:firstLine="480"/>
        <w:rPr>
          <w:rFonts w:hint="eastAsia" w:ascii="宋体" w:hAnsi="宋体" w:eastAsia="宋体" w:cs="宋体"/>
          <w:snapToGrid w:val="0"/>
          <w:color w:val="auto"/>
          <w:kern w:val="0"/>
        </w:rPr>
      </w:pPr>
      <w:r>
        <w:rPr>
          <w:rFonts w:hint="eastAsia" w:ascii="宋体" w:hAnsi="宋体" w:cs="宋体"/>
          <w:snapToGrid w:val="0"/>
          <w:color w:val="auto"/>
          <w:kern w:val="0"/>
          <w:lang w:eastAsia="zh-CN"/>
        </w:rPr>
        <w:t>（</w:t>
      </w:r>
      <w:r>
        <w:rPr>
          <w:rFonts w:hint="eastAsia" w:ascii="宋体" w:hAnsi="宋体" w:cs="宋体"/>
          <w:snapToGrid w:val="0"/>
          <w:color w:val="auto"/>
          <w:kern w:val="0"/>
          <w:lang w:val="en-US" w:eastAsia="zh-CN"/>
        </w:rPr>
        <w:t>二</w:t>
      </w:r>
      <w:r>
        <w:rPr>
          <w:rFonts w:hint="eastAsia" w:ascii="宋体" w:hAnsi="宋体" w:cs="宋体"/>
          <w:snapToGrid w:val="0"/>
          <w:color w:val="auto"/>
          <w:kern w:val="0"/>
          <w:lang w:eastAsia="zh-CN"/>
        </w:rPr>
        <w:t>）</w:t>
      </w:r>
      <w:r>
        <w:rPr>
          <w:rFonts w:hint="eastAsia" w:ascii="宋体" w:hAnsi="宋体" w:eastAsia="宋体" w:cs="宋体"/>
          <w:snapToGrid w:val="0"/>
          <w:color w:val="auto"/>
          <w:kern w:val="0"/>
        </w:rPr>
        <w:t>本项目排水工程主要采用的管道结构及构造措施</w:t>
      </w:r>
    </w:p>
    <w:p w14:paraId="682BF23C">
      <w:pPr>
        <w:pStyle w:val="71"/>
        <w:snapToGrid/>
        <w:ind w:firstLine="480"/>
        <w:rPr>
          <w:rFonts w:hint="eastAsia" w:ascii="宋体" w:hAnsi="宋体" w:eastAsia="宋体" w:cs="宋体"/>
          <w:snapToGrid w:val="0"/>
          <w:color w:val="auto"/>
          <w:kern w:val="0"/>
        </w:rPr>
      </w:pPr>
      <w:r>
        <w:rPr>
          <w:rFonts w:hint="eastAsia" w:ascii="宋体" w:hAnsi="宋体" w:cs="宋体"/>
          <w:snapToGrid w:val="0"/>
          <w:color w:val="auto"/>
          <w:kern w:val="0"/>
          <w:lang w:val="en-US" w:eastAsia="zh-CN"/>
        </w:rPr>
        <w:t>1、</w:t>
      </w:r>
      <w:r>
        <w:rPr>
          <w:rFonts w:hint="eastAsia" w:ascii="宋体" w:hAnsi="宋体" w:eastAsia="宋体" w:cs="宋体"/>
          <w:snapToGrid w:val="0"/>
          <w:color w:val="auto"/>
          <w:kern w:val="0"/>
        </w:rPr>
        <w:t>本项目埋地污水管主要采用承插口连接，采用柔性接口方式，基础采用</w:t>
      </w:r>
      <w:r>
        <w:rPr>
          <w:rFonts w:hint="eastAsia" w:ascii="宋体" w:hAnsi="宋体" w:eastAsia="宋体" w:cs="宋体"/>
          <w:snapToGrid w:val="0"/>
          <w:color w:val="auto"/>
          <w:kern w:val="0"/>
          <w:lang w:val="en-US" w:eastAsia="zh-CN"/>
        </w:rPr>
        <w:t>中粗砂</w:t>
      </w:r>
      <w:r>
        <w:rPr>
          <w:rFonts w:hint="eastAsia" w:ascii="宋体" w:hAnsi="宋体" w:eastAsia="宋体" w:cs="宋体"/>
          <w:snapToGrid w:val="0"/>
          <w:color w:val="auto"/>
          <w:kern w:val="0"/>
        </w:rPr>
        <w:t>基础，附属构筑物为砖砌检查井。</w:t>
      </w:r>
    </w:p>
    <w:p w14:paraId="364B3A1C">
      <w:pPr>
        <w:pStyle w:val="71"/>
        <w:snapToGrid/>
        <w:ind w:firstLine="480"/>
        <w:rPr>
          <w:rFonts w:hint="eastAsia" w:ascii="宋体" w:hAnsi="宋体" w:eastAsia="宋体" w:cs="宋体"/>
          <w:snapToGrid w:val="0"/>
          <w:color w:val="auto"/>
          <w:kern w:val="0"/>
        </w:rPr>
      </w:pPr>
      <w:r>
        <w:rPr>
          <w:rFonts w:hint="eastAsia" w:ascii="宋体" w:hAnsi="宋体" w:cs="宋体"/>
          <w:snapToGrid w:val="0"/>
          <w:color w:val="auto"/>
          <w:kern w:val="0"/>
          <w:lang w:val="en-US" w:eastAsia="zh-CN"/>
        </w:rPr>
        <w:t>2、</w:t>
      </w:r>
      <w:r>
        <w:rPr>
          <w:rFonts w:hint="eastAsia" w:ascii="宋体" w:hAnsi="宋体" w:eastAsia="宋体" w:cs="宋体"/>
          <w:snapToGrid w:val="0"/>
          <w:color w:val="auto"/>
          <w:kern w:val="0"/>
        </w:rPr>
        <w:t>结构设计基准期：50年；结构设计使用年限：50年；结构设计安全等级：二级；结构重要性系数：1.0；地震烈度：依据《中国地震动峰值加速度区划图》（GB18306-2015），项目所在地的抗震设防烈度为6度，基本地震加速度为0.05g；抗震设防分类：标准设防类。</w:t>
      </w:r>
    </w:p>
    <w:p w14:paraId="3EBDEBD7">
      <w:pPr>
        <w:pStyle w:val="71"/>
        <w:snapToGrid/>
        <w:ind w:firstLine="480"/>
        <w:rPr>
          <w:rFonts w:hint="eastAsia" w:ascii="宋体" w:hAnsi="宋体" w:eastAsia="宋体" w:cs="宋体"/>
          <w:snapToGrid w:val="0"/>
          <w:color w:val="auto"/>
          <w:kern w:val="0"/>
        </w:rPr>
      </w:pPr>
      <w:r>
        <w:rPr>
          <w:rFonts w:hint="eastAsia" w:ascii="宋体" w:hAnsi="宋体" w:cs="宋体"/>
          <w:snapToGrid w:val="0"/>
          <w:color w:val="auto"/>
          <w:kern w:val="0"/>
          <w:lang w:val="en-US" w:eastAsia="zh-CN"/>
        </w:rPr>
        <w:t>3、</w:t>
      </w:r>
      <w:r>
        <w:rPr>
          <w:rFonts w:hint="eastAsia" w:ascii="宋体" w:hAnsi="宋体" w:eastAsia="宋体" w:cs="宋体"/>
          <w:snapToGrid w:val="0"/>
          <w:color w:val="auto"/>
          <w:kern w:val="0"/>
        </w:rPr>
        <w:t>天然地基上的埋地管道，可不进行地基和基础的抗震验算；管道及检查井的选择满足设防烈度为6度，设计基本加速度峰值0.05g的地区使用。</w:t>
      </w:r>
    </w:p>
    <w:p w14:paraId="790BDAF6">
      <w:pPr>
        <w:pStyle w:val="71"/>
        <w:snapToGrid/>
        <w:ind w:firstLine="480"/>
        <w:rPr>
          <w:rFonts w:hint="eastAsia" w:ascii="宋体" w:hAnsi="宋体" w:eastAsia="宋体" w:cs="宋体"/>
          <w:snapToGrid w:val="0"/>
          <w:color w:val="auto"/>
          <w:kern w:val="0"/>
        </w:rPr>
      </w:pPr>
      <w:r>
        <w:rPr>
          <w:rFonts w:hint="eastAsia" w:ascii="宋体" w:hAnsi="宋体" w:cs="宋体"/>
          <w:snapToGrid w:val="0"/>
          <w:color w:val="auto"/>
          <w:kern w:val="0"/>
          <w:lang w:val="en-US" w:eastAsia="zh-CN"/>
        </w:rPr>
        <w:t>4、</w:t>
      </w:r>
      <w:r>
        <w:rPr>
          <w:rFonts w:hint="eastAsia" w:ascii="宋体" w:hAnsi="宋体" w:eastAsia="宋体" w:cs="宋体"/>
          <w:snapToGrid w:val="0"/>
          <w:color w:val="auto"/>
          <w:kern w:val="0"/>
        </w:rPr>
        <w:t>根据《室外给水排水和燃气热力工程抗震设计规范》(GB 50032</w:t>
      </w:r>
      <w:r>
        <w:rPr>
          <w:rFonts w:hint="eastAsia" w:ascii="宋体" w:hAnsi="宋体" w:eastAsia="宋体" w:cs="宋体"/>
          <w:snapToGrid w:val="0"/>
          <w:color w:val="auto"/>
          <w:kern w:val="0"/>
          <w:lang w:val="en-US" w:eastAsia="zh-CN"/>
        </w:rPr>
        <w:t>-</w:t>
      </w:r>
      <w:r>
        <w:rPr>
          <w:rFonts w:hint="eastAsia" w:ascii="宋体" w:hAnsi="宋体" w:eastAsia="宋体" w:cs="宋体"/>
          <w:snapToGrid w:val="0"/>
          <w:color w:val="auto"/>
          <w:kern w:val="0"/>
        </w:rPr>
        <w:t>2003)中10.1.4条的规定及抗震论证分析，本工程不对管道结构及检查井进行抗震验算。</w:t>
      </w:r>
    </w:p>
    <w:p w14:paraId="121C377F">
      <w:pPr>
        <w:pStyle w:val="71"/>
        <w:snapToGrid/>
        <w:ind w:firstLine="480"/>
        <w:rPr>
          <w:rFonts w:hint="eastAsia" w:ascii="宋体" w:hAnsi="宋体" w:eastAsia="宋体" w:cs="宋体"/>
          <w:b/>
          <w:bCs/>
          <w:color w:val="auto"/>
          <w:kern w:val="2"/>
          <w:sz w:val="24"/>
          <w:szCs w:val="24"/>
          <w:lang w:val="en-US" w:eastAsia="zh-CN" w:bidi="ar-SA"/>
        </w:rPr>
      </w:pPr>
      <w:r>
        <w:rPr>
          <w:rFonts w:hint="eastAsia" w:ascii="宋体" w:hAnsi="宋体" w:eastAsia="宋体" w:cs="宋体"/>
          <w:b/>
          <w:bCs/>
          <w:color w:val="auto"/>
          <w:kern w:val="2"/>
          <w:sz w:val="24"/>
          <w:szCs w:val="24"/>
          <w:lang w:val="en-US" w:eastAsia="zh-CN" w:bidi="ar-SA"/>
        </w:rPr>
        <w:t>六、“危大工·程”专项说明</w:t>
      </w:r>
    </w:p>
    <w:p w14:paraId="0F5AC6C0">
      <w:pPr>
        <w:pStyle w:val="71"/>
        <w:snapToGrid/>
        <w:ind w:firstLine="480"/>
        <w:rPr>
          <w:rFonts w:hint="eastAsia" w:ascii="宋体" w:hAnsi="宋体" w:eastAsia="宋体" w:cs="宋体"/>
          <w:snapToGrid w:val="0"/>
          <w:color w:val="auto"/>
          <w:kern w:val="0"/>
        </w:rPr>
      </w:pPr>
      <w:r>
        <w:rPr>
          <w:rFonts w:hint="eastAsia" w:ascii="宋体" w:hAnsi="宋体" w:eastAsia="宋体" w:cs="宋体"/>
          <w:snapToGrid w:val="0"/>
          <w:color w:val="auto"/>
          <w:kern w:val="0"/>
        </w:rPr>
        <w:t>根据2018年2月12日第37次部常务会议通过的《危险性较大的分部分项工程安全管理规定》（自2018年6月1日起施行），本项目涉及危险性较大的分部分项工程（简称“危大工程”）主要情况参见下表，施工单位在投标时应根据施工场地范围内的工程水文地质条件、周围环境及地下管线等构（建）筑的情况补充完善“危大工程”清单并明确相应的安全管理措施。</w:t>
      </w:r>
    </w:p>
    <w:p w14:paraId="5595FA71">
      <w:pPr>
        <w:pStyle w:val="71"/>
        <w:snapToGrid/>
        <w:ind w:firstLine="480"/>
        <w:rPr>
          <w:rFonts w:hint="eastAsia" w:ascii="宋体" w:hAnsi="宋体" w:eastAsia="宋体" w:cs="宋体"/>
          <w:snapToGrid w:val="0"/>
          <w:color w:val="auto"/>
          <w:kern w:val="0"/>
        </w:rPr>
      </w:pPr>
    </w:p>
    <w:p w14:paraId="0A1B61F4">
      <w:pPr>
        <w:pStyle w:val="71"/>
        <w:snapToGrid/>
        <w:ind w:firstLine="480"/>
        <w:rPr>
          <w:rFonts w:hint="eastAsia" w:ascii="宋体" w:hAnsi="宋体" w:eastAsia="宋体" w:cs="宋体"/>
          <w:snapToGrid w:val="0"/>
          <w:color w:val="auto"/>
          <w:kern w:val="0"/>
        </w:rPr>
      </w:pPr>
    </w:p>
    <w:p w14:paraId="43C82357">
      <w:pPr>
        <w:pStyle w:val="71"/>
        <w:snapToGrid/>
        <w:ind w:firstLine="480"/>
        <w:rPr>
          <w:rFonts w:hint="eastAsia" w:ascii="宋体" w:hAnsi="宋体" w:eastAsia="宋体" w:cs="宋体"/>
          <w:snapToGrid w:val="0"/>
          <w:color w:val="auto"/>
          <w:kern w:val="0"/>
        </w:rPr>
      </w:pPr>
    </w:p>
    <w:p w14:paraId="0278F5DC">
      <w:pPr>
        <w:pStyle w:val="71"/>
        <w:snapToGrid/>
        <w:ind w:firstLine="480"/>
        <w:rPr>
          <w:rFonts w:hint="eastAsia" w:ascii="宋体" w:hAnsi="宋体" w:eastAsia="宋体" w:cs="宋体"/>
          <w:snapToGrid w:val="0"/>
          <w:color w:val="auto"/>
          <w:kern w:val="0"/>
        </w:rPr>
      </w:pPr>
    </w:p>
    <w:p w14:paraId="3E6EB1B6">
      <w:pPr>
        <w:pStyle w:val="71"/>
        <w:snapToGrid/>
        <w:ind w:firstLine="480"/>
        <w:rPr>
          <w:rFonts w:hint="eastAsia" w:ascii="宋体" w:hAnsi="宋体" w:eastAsia="宋体" w:cs="宋体"/>
          <w:snapToGrid w:val="0"/>
          <w:color w:val="auto"/>
          <w:kern w:val="0"/>
        </w:rPr>
      </w:pPr>
    </w:p>
    <w:p w14:paraId="415ADDDF">
      <w:pPr>
        <w:pStyle w:val="71"/>
        <w:snapToGrid/>
        <w:ind w:firstLine="480"/>
        <w:rPr>
          <w:rFonts w:hint="eastAsia" w:ascii="宋体" w:hAnsi="宋体" w:eastAsia="宋体" w:cs="宋体"/>
          <w:snapToGrid w:val="0"/>
          <w:color w:val="auto"/>
          <w:kern w:val="0"/>
        </w:rPr>
      </w:pPr>
    </w:p>
    <w:tbl>
      <w:tblPr>
        <w:tblStyle w:val="51"/>
        <w:tblW w:w="0" w:type="auto"/>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384"/>
        <w:gridCol w:w="3119"/>
        <w:gridCol w:w="2836"/>
        <w:gridCol w:w="2693"/>
      </w:tblGrid>
      <w:tr w14:paraId="39F3B9C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1384" w:type="dxa"/>
          </w:tcPr>
          <w:p w14:paraId="01B5F30F">
            <w:pPr>
              <w:pStyle w:val="115"/>
              <w:spacing w:before="175"/>
              <w:ind w:left="165"/>
              <w:rPr>
                <w:rFonts w:hint="eastAsia" w:ascii="宋体" w:hAnsi="宋体" w:eastAsia="宋体" w:cs="宋体"/>
                <w:b/>
                <w:color w:val="auto"/>
                <w:sz w:val="21"/>
              </w:rPr>
            </w:pPr>
            <w:r>
              <w:rPr>
                <w:rFonts w:hint="eastAsia" w:ascii="宋体" w:hAnsi="宋体" w:eastAsia="宋体" w:cs="宋体"/>
                <w:b/>
                <w:color w:val="auto"/>
                <w:sz w:val="21"/>
              </w:rPr>
              <w:t>危险性分类</w:t>
            </w:r>
          </w:p>
        </w:tc>
        <w:tc>
          <w:tcPr>
            <w:tcW w:w="3119" w:type="dxa"/>
          </w:tcPr>
          <w:p w14:paraId="799A9D22">
            <w:pPr>
              <w:pStyle w:val="115"/>
              <w:spacing w:before="175"/>
              <w:ind w:left="718"/>
              <w:rPr>
                <w:rFonts w:hint="eastAsia" w:ascii="宋体" w:hAnsi="宋体" w:eastAsia="宋体" w:cs="宋体"/>
                <w:b/>
                <w:color w:val="auto"/>
                <w:sz w:val="21"/>
              </w:rPr>
            </w:pPr>
            <w:r>
              <w:rPr>
                <w:rFonts w:hint="eastAsia" w:ascii="宋体" w:hAnsi="宋体" w:eastAsia="宋体" w:cs="宋体"/>
                <w:b/>
                <w:color w:val="auto"/>
                <w:sz w:val="21"/>
              </w:rPr>
              <w:t>分部分项工程范围</w:t>
            </w:r>
          </w:p>
        </w:tc>
        <w:tc>
          <w:tcPr>
            <w:tcW w:w="2836" w:type="dxa"/>
          </w:tcPr>
          <w:p w14:paraId="640CF5B4">
            <w:pPr>
              <w:pStyle w:val="115"/>
              <w:spacing w:before="175"/>
              <w:ind w:left="470"/>
              <w:rPr>
                <w:rFonts w:hint="eastAsia" w:ascii="宋体" w:hAnsi="宋体" w:eastAsia="宋体" w:cs="宋体"/>
                <w:b/>
                <w:color w:val="auto"/>
                <w:sz w:val="21"/>
              </w:rPr>
            </w:pPr>
            <w:r>
              <w:rPr>
                <w:rFonts w:hint="eastAsia" w:ascii="宋体" w:hAnsi="宋体" w:eastAsia="宋体" w:cs="宋体"/>
                <w:b/>
                <w:color w:val="auto"/>
                <w:sz w:val="21"/>
              </w:rPr>
              <w:t>对应本工程范围识别</w:t>
            </w:r>
          </w:p>
        </w:tc>
        <w:tc>
          <w:tcPr>
            <w:tcW w:w="2693" w:type="dxa"/>
          </w:tcPr>
          <w:p w14:paraId="3EC4EF43">
            <w:pPr>
              <w:pStyle w:val="115"/>
              <w:spacing w:before="19"/>
              <w:ind w:left="165" w:right="155"/>
              <w:jc w:val="center"/>
              <w:rPr>
                <w:rFonts w:hint="eastAsia" w:ascii="宋体" w:hAnsi="宋体" w:eastAsia="宋体" w:cs="宋体"/>
                <w:b/>
                <w:color w:val="auto"/>
                <w:sz w:val="21"/>
              </w:rPr>
            </w:pPr>
            <w:r>
              <w:rPr>
                <w:rFonts w:hint="eastAsia" w:ascii="宋体" w:hAnsi="宋体" w:eastAsia="宋体" w:cs="宋体"/>
                <w:b/>
                <w:color w:val="auto"/>
                <w:sz w:val="21"/>
              </w:rPr>
              <w:t>对工程周边环境安全和工</w:t>
            </w:r>
          </w:p>
          <w:p w14:paraId="61C99744">
            <w:pPr>
              <w:pStyle w:val="115"/>
              <w:spacing w:before="43"/>
              <w:ind w:left="165" w:right="155"/>
              <w:jc w:val="center"/>
              <w:rPr>
                <w:rFonts w:hint="eastAsia" w:ascii="宋体" w:hAnsi="宋体" w:eastAsia="宋体" w:cs="宋体"/>
                <w:b/>
                <w:color w:val="auto"/>
                <w:sz w:val="21"/>
              </w:rPr>
            </w:pPr>
            <w:r>
              <w:rPr>
                <w:rFonts w:hint="eastAsia" w:ascii="宋体" w:hAnsi="宋体" w:eastAsia="宋体" w:cs="宋体"/>
                <w:b/>
                <w:color w:val="auto"/>
                <w:sz w:val="21"/>
              </w:rPr>
              <w:t>程施工安全的意见</w:t>
            </w:r>
          </w:p>
        </w:tc>
      </w:tr>
      <w:tr w14:paraId="16EFC72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99" w:hRule="atLeast"/>
        </w:trPr>
        <w:tc>
          <w:tcPr>
            <w:tcW w:w="1384" w:type="dxa"/>
            <w:vMerge w:val="restart"/>
          </w:tcPr>
          <w:p w14:paraId="696C0BD0">
            <w:pPr>
              <w:pStyle w:val="115"/>
              <w:rPr>
                <w:rFonts w:hint="eastAsia" w:ascii="宋体" w:hAnsi="宋体" w:eastAsia="宋体" w:cs="宋体"/>
                <w:color w:val="auto"/>
                <w:sz w:val="20"/>
              </w:rPr>
            </w:pPr>
          </w:p>
          <w:p w14:paraId="143A39B8">
            <w:pPr>
              <w:pStyle w:val="115"/>
              <w:rPr>
                <w:rFonts w:hint="eastAsia" w:ascii="宋体" w:hAnsi="宋体" w:eastAsia="宋体" w:cs="宋体"/>
                <w:color w:val="auto"/>
                <w:sz w:val="20"/>
              </w:rPr>
            </w:pPr>
          </w:p>
          <w:p w14:paraId="1400E83F">
            <w:pPr>
              <w:pStyle w:val="115"/>
              <w:rPr>
                <w:rFonts w:hint="eastAsia" w:ascii="宋体" w:hAnsi="宋体" w:eastAsia="宋体" w:cs="宋体"/>
                <w:color w:val="auto"/>
                <w:sz w:val="20"/>
              </w:rPr>
            </w:pPr>
          </w:p>
          <w:p w14:paraId="750E4CC0">
            <w:pPr>
              <w:pStyle w:val="115"/>
              <w:spacing w:before="1"/>
              <w:rPr>
                <w:rFonts w:hint="eastAsia" w:ascii="宋体" w:hAnsi="宋体" w:eastAsia="宋体" w:cs="宋体"/>
                <w:color w:val="auto"/>
                <w:sz w:val="29"/>
              </w:rPr>
            </w:pPr>
          </w:p>
          <w:p w14:paraId="301C5718">
            <w:pPr>
              <w:pStyle w:val="115"/>
              <w:spacing w:before="1" w:line="278" w:lineRule="auto"/>
              <w:ind w:left="165" w:right="151"/>
              <w:jc w:val="both"/>
              <w:rPr>
                <w:rFonts w:hint="eastAsia" w:ascii="宋体" w:hAnsi="宋体" w:eastAsia="宋体" w:cs="宋体"/>
                <w:b/>
                <w:color w:val="auto"/>
                <w:sz w:val="21"/>
              </w:rPr>
            </w:pPr>
            <w:r>
              <w:rPr>
                <w:rFonts w:hint="eastAsia" w:ascii="宋体" w:hAnsi="宋体" w:eastAsia="宋体" w:cs="宋体"/>
                <w:b/>
                <w:color w:val="auto"/>
                <w:sz w:val="21"/>
              </w:rPr>
              <w:t>危险性较大的分部分项工程范围</w:t>
            </w:r>
          </w:p>
        </w:tc>
        <w:tc>
          <w:tcPr>
            <w:tcW w:w="3119" w:type="dxa"/>
          </w:tcPr>
          <w:p w14:paraId="5CF59CAA">
            <w:pPr>
              <w:pStyle w:val="115"/>
              <w:spacing w:before="9"/>
              <w:rPr>
                <w:rFonts w:hint="eastAsia" w:ascii="宋体" w:hAnsi="宋体" w:eastAsia="宋体" w:cs="宋体"/>
                <w:color w:val="auto"/>
                <w:sz w:val="15"/>
              </w:rPr>
            </w:pPr>
          </w:p>
          <w:p w14:paraId="2DA1CEB8">
            <w:pPr>
              <w:pStyle w:val="115"/>
              <w:rPr>
                <w:rFonts w:hint="eastAsia" w:ascii="宋体" w:hAnsi="宋体" w:eastAsia="宋体" w:cs="宋体"/>
                <w:color w:val="auto"/>
                <w:sz w:val="21"/>
              </w:rPr>
            </w:pPr>
            <w:r>
              <w:rPr>
                <w:rFonts w:hint="eastAsia" w:ascii="宋体" w:hAnsi="宋体" w:eastAsia="宋体" w:cs="宋体"/>
                <w:color w:val="auto"/>
                <w:sz w:val="21"/>
              </w:rPr>
              <w:t>土方开挖工程</w:t>
            </w:r>
          </w:p>
          <w:p w14:paraId="4229371A">
            <w:pPr>
              <w:pStyle w:val="115"/>
              <w:spacing w:before="43" w:line="278" w:lineRule="auto"/>
              <w:ind w:right="165"/>
              <w:rPr>
                <w:rFonts w:hint="eastAsia" w:ascii="宋体" w:hAnsi="宋体" w:eastAsia="宋体" w:cs="宋体"/>
                <w:color w:val="auto"/>
                <w:sz w:val="21"/>
              </w:rPr>
            </w:pPr>
            <w:r>
              <w:rPr>
                <w:rFonts w:hint="eastAsia" w:ascii="宋体" w:hAnsi="宋体" w:eastAsia="宋体" w:cs="宋体"/>
                <w:color w:val="auto"/>
                <w:spacing w:val="-8"/>
                <w:sz w:val="21"/>
              </w:rPr>
              <w:t xml:space="preserve">开挖深度超过 </w:t>
            </w:r>
            <w:r>
              <w:rPr>
                <w:rFonts w:hint="eastAsia" w:ascii="宋体" w:hAnsi="宋体" w:eastAsia="宋体" w:cs="宋体"/>
                <w:color w:val="auto"/>
                <w:sz w:val="21"/>
              </w:rPr>
              <w:t>3m（</w:t>
            </w:r>
            <w:r>
              <w:rPr>
                <w:rFonts w:hint="eastAsia" w:ascii="宋体" w:hAnsi="宋体" w:eastAsia="宋体" w:cs="宋体"/>
                <w:color w:val="auto"/>
                <w:spacing w:val="-27"/>
                <w:sz w:val="21"/>
              </w:rPr>
              <w:t xml:space="preserve">含 </w:t>
            </w:r>
            <w:r>
              <w:rPr>
                <w:rFonts w:hint="eastAsia" w:ascii="宋体" w:hAnsi="宋体" w:eastAsia="宋体" w:cs="宋体"/>
                <w:color w:val="auto"/>
                <w:sz w:val="21"/>
              </w:rPr>
              <w:t>3m）</w:t>
            </w:r>
            <w:r>
              <w:rPr>
                <w:rFonts w:hint="eastAsia" w:ascii="宋体" w:hAnsi="宋体" w:eastAsia="宋体" w:cs="宋体"/>
                <w:color w:val="auto"/>
                <w:spacing w:val="-8"/>
                <w:sz w:val="21"/>
              </w:rPr>
              <w:t>的基</w:t>
            </w:r>
            <w:r>
              <w:rPr>
                <w:rFonts w:hint="eastAsia" w:ascii="宋体" w:hAnsi="宋体" w:eastAsia="宋体" w:cs="宋体"/>
                <w:color w:val="auto"/>
                <w:sz w:val="21"/>
              </w:rPr>
              <w:t>坑（槽）的土方开挖工程。</w:t>
            </w:r>
          </w:p>
        </w:tc>
        <w:tc>
          <w:tcPr>
            <w:tcW w:w="2836" w:type="dxa"/>
          </w:tcPr>
          <w:p w14:paraId="59F437B3">
            <w:pPr>
              <w:pStyle w:val="115"/>
              <w:spacing w:before="9"/>
              <w:rPr>
                <w:rFonts w:hint="eastAsia" w:ascii="宋体" w:hAnsi="宋体" w:eastAsia="宋体" w:cs="宋体"/>
                <w:color w:val="auto"/>
                <w:sz w:val="15"/>
              </w:rPr>
            </w:pPr>
          </w:p>
          <w:p w14:paraId="50B94A29">
            <w:pPr>
              <w:pStyle w:val="115"/>
              <w:spacing w:line="278" w:lineRule="auto"/>
              <w:ind w:left="107" w:right="-15"/>
              <w:rPr>
                <w:rFonts w:hint="eastAsia" w:ascii="宋体" w:hAnsi="宋体" w:eastAsia="宋体" w:cs="宋体"/>
                <w:color w:val="auto"/>
                <w:sz w:val="21"/>
              </w:rPr>
            </w:pPr>
            <w:r>
              <w:rPr>
                <w:rFonts w:hint="eastAsia" w:ascii="宋体" w:hAnsi="宋体" w:eastAsia="宋体" w:cs="宋体"/>
                <w:color w:val="auto"/>
                <w:spacing w:val="-6"/>
                <w:sz w:val="21"/>
                <w:lang w:val="en-US" w:eastAsia="zh-CN"/>
              </w:rPr>
              <w:t>污水处理站</w:t>
            </w:r>
            <w:r>
              <w:rPr>
                <w:rFonts w:hint="eastAsia" w:ascii="宋体" w:hAnsi="宋体" w:eastAsia="宋体" w:cs="宋体"/>
                <w:color w:val="auto"/>
                <w:spacing w:val="-6"/>
                <w:sz w:val="21"/>
              </w:rPr>
              <w:t xml:space="preserve">基坑开挖深度大于 </w:t>
            </w:r>
            <w:r>
              <w:rPr>
                <w:rFonts w:hint="eastAsia" w:ascii="宋体" w:hAnsi="宋体" w:eastAsia="宋体" w:cs="宋体"/>
                <w:color w:val="auto"/>
                <w:sz w:val="21"/>
              </w:rPr>
              <w:t>3</w:t>
            </w:r>
            <w:r>
              <w:rPr>
                <w:rFonts w:hint="eastAsia" w:ascii="宋体" w:hAnsi="宋体" w:eastAsia="宋体" w:cs="宋体"/>
                <w:color w:val="auto"/>
                <w:spacing w:val="-22"/>
                <w:sz w:val="21"/>
              </w:rPr>
              <w:t xml:space="preserve"> 米， </w:t>
            </w:r>
            <w:r>
              <w:rPr>
                <w:rFonts w:hint="eastAsia" w:ascii="宋体" w:hAnsi="宋体" w:eastAsia="宋体" w:cs="宋体"/>
                <w:color w:val="auto"/>
                <w:sz w:val="21"/>
              </w:rPr>
              <w:t>且采用放坡开挖的管道沟</w:t>
            </w:r>
          </w:p>
          <w:p w14:paraId="4CF16BD5">
            <w:pPr>
              <w:pStyle w:val="115"/>
              <w:spacing w:line="269" w:lineRule="exact"/>
              <w:ind w:left="107"/>
              <w:rPr>
                <w:rFonts w:hint="eastAsia" w:ascii="宋体" w:hAnsi="宋体" w:eastAsia="宋体" w:cs="宋体"/>
                <w:color w:val="auto"/>
                <w:sz w:val="21"/>
              </w:rPr>
            </w:pPr>
            <w:r>
              <w:rPr>
                <w:rFonts w:hint="eastAsia" w:ascii="宋体" w:hAnsi="宋体" w:eastAsia="宋体" w:cs="宋体"/>
                <w:color w:val="auto"/>
                <w:sz w:val="21"/>
              </w:rPr>
              <w:t>槽。</w:t>
            </w:r>
          </w:p>
        </w:tc>
        <w:tc>
          <w:tcPr>
            <w:tcW w:w="2693" w:type="dxa"/>
            <w:vMerge w:val="restart"/>
          </w:tcPr>
          <w:p w14:paraId="6D183558">
            <w:pPr>
              <w:pStyle w:val="115"/>
              <w:spacing w:before="9" w:line="310" w:lineRule="atLeast"/>
              <w:ind w:left="105" w:right="98" w:firstLine="420"/>
              <w:rPr>
                <w:rFonts w:hint="eastAsia" w:ascii="宋体" w:hAnsi="宋体" w:eastAsia="宋体" w:cs="宋体"/>
                <w:color w:val="auto"/>
                <w:sz w:val="21"/>
              </w:rPr>
            </w:pPr>
            <w:r>
              <w:rPr>
                <w:rFonts w:hint="eastAsia" w:ascii="宋体" w:hAnsi="宋体" w:eastAsia="宋体" w:cs="宋体"/>
                <w:color w:val="auto"/>
                <w:sz w:val="21"/>
              </w:rPr>
              <w:t>施工单位应当在危大工程施工前组织工程技术</w:t>
            </w:r>
            <w:r>
              <w:rPr>
                <w:rFonts w:hint="eastAsia" w:ascii="宋体" w:hAnsi="宋体" w:eastAsia="宋体" w:cs="宋体"/>
                <w:color w:val="auto"/>
                <w:spacing w:val="-5"/>
                <w:sz w:val="21"/>
              </w:rPr>
              <w:t>人员编制专项施工方案。此</w:t>
            </w:r>
            <w:r>
              <w:rPr>
                <w:rFonts w:hint="eastAsia" w:ascii="宋体" w:hAnsi="宋体" w:eastAsia="宋体" w:cs="宋体"/>
                <w:color w:val="auto"/>
                <w:spacing w:val="-9"/>
                <w:sz w:val="21"/>
              </w:rPr>
              <w:t>外，还需严格遵循《市政工程施工组织设计规范》</w:t>
            </w:r>
            <w:r>
              <w:rPr>
                <w:rFonts w:hint="eastAsia" w:ascii="宋体" w:hAnsi="宋体" w:eastAsia="宋体" w:cs="宋体"/>
                <w:color w:val="auto"/>
                <w:spacing w:val="-62"/>
                <w:sz w:val="21"/>
              </w:rPr>
              <w:t>、《城</w:t>
            </w:r>
            <w:r>
              <w:rPr>
                <w:rFonts w:hint="eastAsia" w:ascii="宋体" w:hAnsi="宋体" w:eastAsia="宋体" w:cs="宋体"/>
                <w:color w:val="auto"/>
                <w:sz w:val="21"/>
              </w:rPr>
              <w:t>镇排水管道维护安全技术</w:t>
            </w:r>
            <w:r>
              <w:rPr>
                <w:rFonts w:hint="eastAsia" w:ascii="宋体" w:hAnsi="宋体" w:eastAsia="宋体" w:cs="宋体"/>
                <w:color w:val="auto"/>
                <w:spacing w:val="-8"/>
                <w:sz w:val="21"/>
              </w:rPr>
              <w:t>规程》、《城镇排水管渠与泵站运行、维护及安全技术规程》以及国家现行相关法</w:t>
            </w:r>
            <w:r>
              <w:rPr>
                <w:rFonts w:hint="eastAsia" w:ascii="宋体" w:hAnsi="宋体" w:eastAsia="宋体" w:cs="宋体"/>
                <w:color w:val="auto"/>
                <w:sz w:val="21"/>
              </w:rPr>
              <w:t>律法规、标准的规定。</w:t>
            </w:r>
          </w:p>
        </w:tc>
      </w:tr>
      <w:tr w14:paraId="52A924C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871" w:hRule="atLeast"/>
        </w:trPr>
        <w:tc>
          <w:tcPr>
            <w:tcW w:w="1384" w:type="dxa"/>
            <w:vMerge w:val="continue"/>
          </w:tcPr>
          <w:p w14:paraId="1DB4508A">
            <w:pPr>
              <w:rPr>
                <w:rFonts w:hint="eastAsia" w:ascii="宋体" w:hAnsi="宋体" w:eastAsia="宋体" w:cs="宋体"/>
                <w:color w:val="auto"/>
                <w:sz w:val="2"/>
                <w:szCs w:val="2"/>
              </w:rPr>
            </w:pPr>
          </w:p>
        </w:tc>
        <w:tc>
          <w:tcPr>
            <w:tcW w:w="3119" w:type="dxa"/>
          </w:tcPr>
          <w:p w14:paraId="5F122CBB">
            <w:pPr>
              <w:pStyle w:val="115"/>
              <w:spacing w:before="20"/>
              <w:rPr>
                <w:rFonts w:hint="eastAsia" w:ascii="宋体" w:hAnsi="宋体" w:eastAsia="宋体" w:cs="宋体"/>
                <w:color w:val="auto"/>
                <w:sz w:val="21"/>
              </w:rPr>
            </w:pPr>
            <w:r>
              <w:rPr>
                <w:rFonts w:hint="eastAsia" w:ascii="宋体" w:hAnsi="宋体" w:eastAsia="宋体" w:cs="宋体"/>
                <w:color w:val="auto"/>
                <w:sz w:val="21"/>
              </w:rPr>
              <w:t>起重吊装及安装拆卸工程</w:t>
            </w:r>
          </w:p>
          <w:p w14:paraId="50E13B6E">
            <w:pPr>
              <w:pStyle w:val="115"/>
              <w:numPr>
                <w:ilvl w:val="0"/>
                <w:numId w:val="0"/>
              </w:numPr>
              <w:spacing w:before="2" w:line="310" w:lineRule="atLeast"/>
              <w:ind w:right="60" w:rightChars="0"/>
              <w:rPr>
                <w:rFonts w:hint="eastAsia" w:ascii="宋体" w:hAnsi="宋体" w:eastAsia="宋体" w:cs="宋体"/>
                <w:color w:val="auto"/>
                <w:spacing w:val="-14"/>
                <w:sz w:val="21"/>
              </w:rPr>
            </w:pPr>
            <w:r>
              <w:rPr>
                <w:rFonts w:hint="eastAsia" w:ascii="宋体" w:hAnsi="宋体" w:eastAsia="宋体" w:cs="宋体"/>
                <w:color w:val="auto"/>
                <w:spacing w:val="-2"/>
                <w:sz w:val="21"/>
                <w:lang w:val="en-US" w:eastAsia="zh-CN"/>
              </w:rPr>
              <w:t>1.</w:t>
            </w:r>
            <w:r>
              <w:rPr>
                <w:rFonts w:hint="eastAsia" w:ascii="宋体" w:hAnsi="宋体" w:eastAsia="宋体" w:cs="宋体"/>
                <w:color w:val="auto"/>
                <w:spacing w:val="-2"/>
                <w:sz w:val="21"/>
              </w:rPr>
              <w:t xml:space="preserve">采用非常规起重设备、方法， </w:t>
            </w:r>
            <w:r>
              <w:rPr>
                <w:rFonts w:hint="eastAsia" w:ascii="宋体" w:hAnsi="宋体" w:eastAsia="宋体" w:cs="宋体"/>
                <w:color w:val="auto"/>
                <w:spacing w:val="-6"/>
                <w:sz w:val="21"/>
              </w:rPr>
              <w:t xml:space="preserve">且单件起吊重量在 </w:t>
            </w:r>
            <w:r>
              <w:rPr>
                <w:rFonts w:hint="eastAsia" w:ascii="宋体" w:hAnsi="宋体" w:eastAsia="宋体" w:cs="宋体"/>
                <w:color w:val="auto"/>
                <w:sz w:val="21"/>
              </w:rPr>
              <w:t>10kN</w:t>
            </w:r>
            <w:r>
              <w:rPr>
                <w:rFonts w:hint="eastAsia" w:ascii="宋体" w:hAnsi="宋体" w:eastAsia="宋体" w:cs="宋体"/>
                <w:color w:val="auto"/>
                <w:spacing w:val="-14"/>
                <w:sz w:val="21"/>
              </w:rPr>
              <w:t xml:space="preserve"> 及以上的起重吊装工程。</w:t>
            </w:r>
          </w:p>
          <w:p w14:paraId="6D724C81">
            <w:pPr>
              <w:pStyle w:val="115"/>
              <w:numPr>
                <w:ilvl w:val="0"/>
                <w:numId w:val="0"/>
              </w:numPr>
              <w:spacing w:before="2" w:line="310" w:lineRule="atLeast"/>
              <w:ind w:right="60" w:rightChars="0"/>
              <w:rPr>
                <w:rFonts w:hint="eastAsia" w:ascii="宋体" w:hAnsi="宋体" w:eastAsia="宋体" w:cs="宋体"/>
                <w:color w:val="auto"/>
                <w:spacing w:val="-14"/>
                <w:sz w:val="21"/>
              </w:rPr>
            </w:pPr>
            <w:r>
              <w:rPr>
                <w:rFonts w:hint="eastAsia" w:ascii="宋体" w:hAnsi="宋体" w:eastAsia="宋体" w:cs="宋体"/>
                <w:color w:val="auto"/>
                <w:spacing w:val="-14"/>
                <w:sz w:val="21"/>
              </w:rPr>
              <w:t>2.采用起重机械进行安装的工程。</w:t>
            </w:r>
          </w:p>
          <w:p w14:paraId="226BDDD2">
            <w:pPr>
              <w:pStyle w:val="115"/>
              <w:spacing w:before="20"/>
              <w:rPr>
                <w:rFonts w:hint="eastAsia" w:ascii="宋体" w:hAnsi="宋体" w:eastAsia="宋体" w:cs="宋体"/>
                <w:color w:val="auto"/>
                <w:sz w:val="21"/>
              </w:rPr>
            </w:pPr>
            <w:r>
              <w:rPr>
                <w:rFonts w:hint="eastAsia" w:ascii="宋体" w:hAnsi="宋体" w:eastAsia="宋体" w:cs="宋体"/>
                <w:color w:val="auto"/>
                <w:sz w:val="21"/>
              </w:rPr>
              <w:t>3.起重机械设备自身的安装、拆</w:t>
            </w:r>
          </w:p>
          <w:p w14:paraId="280E5030">
            <w:pPr>
              <w:pStyle w:val="115"/>
              <w:numPr>
                <w:ilvl w:val="0"/>
                <w:numId w:val="0"/>
              </w:numPr>
              <w:spacing w:before="2" w:line="310" w:lineRule="atLeast"/>
              <w:ind w:right="60" w:rightChars="0"/>
              <w:rPr>
                <w:rFonts w:hint="eastAsia" w:ascii="宋体" w:hAnsi="宋体" w:eastAsia="宋体" w:cs="宋体"/>
                <w:color w:val="auto"/>
                <w:spacing w:val="-14"/>
                <w:sz w:val="21"/>
              </w:rPr>
            </w:pPr>
            <w:r>
              <w:rPr>
                <w:rFonts w:hint="eastAsia" w:ascii="宋体" w:hAnsi="宋体" w:eastAsia="宋体" w:cs="宋体"/>
                <w:color w:val="auto"/>
                <w:sz w:val="21"/>
              </w:rPr>
              <w:t>卸。</w:t>
            </w:r>
          </w:p>
        </w:tc>
        <w:tc>
          <w:tcPr>
            <w:tcW w:w="2836" w:type="dxa"/>
          </w:tcPr>
          <w:p w14:paraId="095249FA">
            <w:pPr>
              <w:pStyle w:val="115"/>
              <w:rPr>
                <w:rFonts w:hint="eastAsia" w:ascii="宋体" w:hAnsi="宋体" w:eastAsia="宋体" w:cs="宋体"/>
                <w:color w:val="auto"/>
                <w:sz w:val="20"/>
              </w:rPr>
            </w:pPr>
          </w:p>
          <w:p w14:paraId="4AD431FD">
            <w:pPr>
              <w:pStyle w:val="115"/>
              <w:rPr>
                <w:rFonts w:hint="eastAsia" w:ascii="宋体" w:hAnsi="宋体" w:eastAsia="宋体" w:cs="宋体"/>
                <w:color w:val="auto"/>
                <w:sz w:val="20"/>
              </w:rPr>
            </w:pPr>
          </w:p>
          <w:p w14:paraId="0D4B401E">
            <w:pPr>
              <w:pStyle w:val="115"/>
              <w:spacing w:before="5"/>
              <w:rPr>
                <w:rFonts w:hint="eastAsia" w:ascii="宋体" w:hAnsi="宋体" w:eastAsia="宋体" w:cs="宋体"/>
                <w:color w:val="auto"/>
                <w:sz w:val="22"/>
              </w:rPr>
            </w:pPr>
          </w:p>
          <w:p w14:paraId="78A22D08">
            <w:pPr>
              <w:pStyle w:val="115"/>
              <w:ind w:left="107"/>
              <w:rPr>
                <w:rFonts w:hint="eastAsia" w:ascii="宋体" w:hAnsi="宋体" w:eastAsia="宋体" w:cs="宋体"/>
                <w:color w:val="auto"/>
                <w:sz w:val="21"/>
              </w:rPr>
            </w:pPr>
            <w:r>
              <w:rPr>
                <w:rFonts w:hint="eastAsia" w:ascii="宋体" w:hAnsi="宋体" w:eastAsia="宋体" w:cs="宋体"/>
                <w:color w:val="auto"/>
                <w:sz w:val="21"/>
              </w:rPr>
              <w:t>整体设备吊装。</w:t>
            </w:r>
          </w:p>
        </w:tc>
        <w:tc>
          <w:tcPr>
            <w:tcW w:w="2693" w:type="dxa"/>
            <w:vMerge w:val="continue"/>
          </w:tcPr>
          <w:p w14:paraId="71CD96D0">
            <w:pPr>
              <w:rPr>
                <w:rFonts w:hint="eastAsia" w:ascii="宋体" w:hAnsi="宋体" w:eastAsia="宋体" w:cs="宋体"/>
                <w:color w:val="auto"/>
                <w:sz w:val="2"/>
                <w:szCs w:val="2"/>
              </w:rPr>
            </w:pPr>
          </w:p>
        </w:tc>
      </w:tr>
      <w:tr w14:paraId="2CC48DA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49" w:hRule="atLeast"/>
        </w:trPr>
        <w:tc>
          <w:tcPr>
            <w:tcW w:w="1384" w:type="dxa"/>
            <w:vMerge w:val="continue"/>
          </w:tcPr>
          <w:p w14:paraId="125793CE">
            <w:pPr>
              <w:rPr>
                <w:rFonts w:hint="eastAsia" w:ascii="宋体" w:hAnsi="宋体" w:eastAsia="宋体" w:cs="宋体"/>
                <w:color w:val="auto"/>
                <w:sz w:val="2"/>
                <w:szCs w:val="2"/>
              </w:rPr>
            </w:pPr>
          </w:p>
        </w:tc>
        <w:tc>
          <w:tcPr>
            <w:tcW w:w="3119" w:type="dxa"/>
          </w:tcPr>
          <w:p w14:paraId="5F67DC30">
            <w:pPr>
              <w:pStyle w:val="115"/>
              <w:spacing w:before="19"/>
              <w:rPr>
                <w:rFonts w:hint="eastAsia" w:ascii="宋体" w:hAnsi="宋体" w:eastAsia="宋体" w:cs="宋体"/>
                <w:color w:val="auto"/>
                <w:sz w:val="21"/>
              </w:rPr>
            </w:pPr>
            <w:r>
              <w:rPr>
                <w:rFonts w:hint="eastAsia" w:ascii="宋体" w:hAnsi="宋体" w:eastAsia="宋体" w:cs="宋体"/>
                <w:color w:val="auto"/>
                <w:sz w:val="21"/>
              </w:rPr>
              <w:t>模板工程及支撑体系</w:t>
            </w:r>
          </w:p>
          <w:p w14:paraId="4B09F323">
            <w:pPr>
              <w:pStyle w:val="115"/>
              <w:numPr>
                <w:ilvl w:val="0"/>
                <w:numId w:val="0"/>
              </w:numPr>
              <w:spacing w:before="2" w:line="310" w:lineRule="atLeast"/>
              <w:ind w:right="60" w:rightChars="0"/>
              <w:rPr>
                <w:rFonts w:hint="eastAsia" w:ascii="宋体" w:hAnsi="宋体" w:eastAsia="宋体" w:cs="宋体"/>
                <w:color w:val="auto"/>
                <w:sz w:val="21"/>
              </w:rPr>
            </w:pPr>
            <w:r>
              <w:rPr>
                <w:rFonts w:hint="eastAsia" w:ascii="宋体" w:hAnsi="宋体" w:eastAsia="宋体" w:cs="宋体"/>
                <w:color w:val="auto"/>
                <w:spacing w:val="-11"/>
                <w:sz w:val="21"/>
              </w:rPr>
              <w:t xml:space="preserve">搭设高度 </w:t>
            </w:r>
            <w:r>
              <w:rPr>
                <w:rFonts w:hint="eastAsia" w:ascii="宋体" w:hAnsi="宋体" w:eastAsia="宋体" w:cs="宋体"/>
                <w:color w:val="auto"/>
                <w:sz w:val="21"/>
              </w:rPr>
              <w:t>5m</w:t>
            </w:r>
            <w:r>
              <w:rPr>
                <w:rFonts w:hint="eastAsia" w:ascii="宋体" w:hAnsi="宋体" w:eastAsia="宋体" w:cs="宋体"/>
                <w:color w:val="auto"/>
                <w:spacing w:val="-9"/>
                <w:sz w:val="21"/>
              </w:rPr>
              <w:t xml:space="preserve"> 及以上的混凝土模</w:t>
            </w:r>
            <w:r>
              <w:rPr>
                <w:rFonts w:hint="eastAsia" w:ascii="宋体" w:hAnsi="宋体" w:eastAsia="宋体" w:cs="宋体"/>
                <w:color w:val="auto"/>
                <w:sz w:val="21"/>
              </w:rPr>
              <w:t>板</w:t>
            </w:r>
          </w:p>
        </w:tc>
        <w:tc>
          <w:tcPr>
            <w:tcW w:w="2836" w:type="dxa"/>
          </w:tcPr>
          <w:p w14:paraId="1D8FED7B">
            <w:pPr>
              <w:pStyle w:val="115"/>
              <w:ind w:left="107"/>
              <w:rPr>
                <w:rFonts w:hint="eastAsia" w:ascii="宋体" w:hAnsi="宋体" w:eastAsia="宋体" w:cs="宋体"/>
                <w:color w:val="auto"/>
                <w:sz w:val="21"/>
              </w:rPr>
            </w:pPr>
            <w:r>
              <w:rPr>
                <w:rFonts w:hint="eastAsia" w:ascii="宋体" w:hAnsi="宋体" w:eastAsia="宋体" w:cs="宋体"/>
                <w:color w:val="auto"/>
                <w:sz w:val="21"/>
              </w:rPr>
              <w:t>检查井、跌水井等构筑物的模板工程</w:t>
            </w:r>
          </w:p>
        </w:tc>
        <w:tc>
          <w:tcPr>
            <w:tcW w:w="2693" w:type="dxa"/>
            <w:vMerge w:val="continue"/>
          </w:tcPr>
          <w:p w14:paraId="577327B9">
            <w:pPr>
              <w:rPr>
                <w:rFonts w:hint="eastAsia" w:ascii="宋体" w:hAnsi="宋体" w:eastAsia="宋体" w:cs="宋体"/>
                <w:color w:val="auto"/>
                <w:sz w:val="2"/>
                <w:szCs w:val="2"/>
              </w:rPr>
            </w:pPr>
          </w:p>
        </w:tc>
      </w:tr>
    </w:tbl>
    <w:p w14:paraId="7F3B287D">
      <w:pPr>
        <w:pStyle w:val="71"/>
        <w:snapToGrid/>
        <w:ind w:firstLine="480"/>
        <w:rPr>
          <w:rFonts w:hint="eastAsia" w:ascii="宋体" w:hAnsi="宋体" w:eastAsia="宋体" w:cs="宋体"/>
          <w:snapToGrid w:val="0"/>
          <w:color w:val="auto"/>
          <w:kern w:val="0"/>
        </w:rPr>
      </w:pPr>
    </w:p>
    <w:p w14:paraId="7D464FE8">
      <w:pPr>
        <w:pStyle w:val="71"/>
        <w:snapToGrid/>
        <w:ind w:firstLine="480"/>
        <w:rPr>
          <w:rFonts w:hint="eastAsia" w:ascii="宋体" w:hAnsi="宋体" w:eastAsia="宋体" w:cs="宋体"/>
          <w:snapToGrid w:val="0"/>
          <w:color w:val="auto"/>
          <w:kern w:val="0"/>
        </w:rPr>
      </w:pPr>
    </w:p>
    <w:sectPr>
      <w:headerReference r:id="rId3" w:type="default"/>
      <w:footerReference r:id="rId4" w:type="default"/>
      <w:footerReference r:id="rId5" w:type="even"/>
      <w:type w:val="continuous"/>
      <w:pgSz w:w="23814" w:h="16840" w:orient="landscape"/>
      <w:pgMar w:top="1588" w:right="1134" w:bottom="1304" w:left="1701" w:header="851" w:footer="992" w:gutter="0"/>
      <w:cols w:space="1051" w:num="2"/>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MS Gothic">
    <w:panose1 w:val="020B0609070205080204"/>
    <w:charset w:val="80"/>
    <w:family w:val="modern"/>
    <w:pitch w:val="default"/>
    <w:sig w:usb0="E00002FF" w:usb1="6AC7FDFB" w:usb2="08000012" w:usb3="00000000" w:csb0="4002009F" w:csb1="DFD70000"/>
  </w:font>
  <w:font w:name="Cambria">
    <w:panose1 w:val="02040503050406030204"/>
    <w:charset w:val="00"/>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0A8B4D">
    <w:pPr>
      <w:pStyle w:val="29"/>
      <w:framePr w:wrap="around" w:vAnchor="text" w:hAnchor="page" w:x="21967" w:y="14"/>
      <w:rPr>
        <w:rFonts w:ascii="宋体" w:hAnsi="宋体"/>
        <w:b/>
        <w:bCs/>
        <w:w w:val="95"/>
        <w:szCs w:val="18"/>
      </w:rPr>
    </w:pPr>
    <w:r>
      <w:rPr>
        <w:rFonts w:hint="eastAsia" w:ascii="宋体" w:hAnsi="宋体"/>
        <w:b/>
        <w:bCs/>
        <w:w w:val="95"/>
        <w:szCs w:val="18"/>
      </w:rPr>
      <w:t xml:space="preserve">第 </w:t>
    </w:r>
    <w:r>
      <w:rPr>
        <w:rFonts w:hint="eastAsia" w:ascii="宋体" w:hAnsi="宋体"/>
        <w:b/>
        <w:bCs/>
        <w:w w:val="95"/>
        <w:szCs w:val="18"/>
      </w:rPr>
      <w:fldChar w:fldCharType="begin"/>
    </w:r>
    <w:r>
      <w:rPr>
        <w:rStyle w:val="54"/>
        <w:rFonts w:hint="eastAsia" w:ascii="宋体" w:hAnsi="宋体"/>
        <w:b/>
        <w:bCs/>
        <w:w w:val="95"/>
        <w:szCs w:val="18"/>
      </w:rPr>
      <w:instrText xml:space="preserve"> PAGE  </w:instrText>
    </w:r>
    <w:r>
      <w:rPr>
        <w:rFonts w:hint="eastAsia" w:ascii="宋体" w:hAnsi="宋体"/>
        <w:b/>
        <w:bCs/>
        <w:w w:val="95"/>
        <w:szCs w:val="18"/>
      </w:rPr>
      <w:fldChar w:fldCharType="separate"/>
    </w:r>
    <w:r>
      <w:rPr>
        <w:rStyle w:val="54"/>
        <w:rFonts w:ascii="宋体" w:hAnsi="宋体"/>
        <w:b/>
        <w:bCs/>
        <w:w w:val="95"/>
        <w:szCs w:val="18"/>
      </w:rPr>
      <w:t>32</w:t>
    </w:r>
    <w:r>
      <w:rPr>
        <w:rFonts w:hint="eastAsia" w:ascii="宋体" w:hAnsi="宋体"/>
        <w:b/>
        <w:bCs/>
        <w:w w:val="95"/>
        <w:szCs w:val="18"/>
      </w:rPr>
      <w:fldChar w:fldCharType="end"/>
    </w:r>
    <w:r>
      <w:rPr>
        <w:rFonts w:hint="eastAsia" w:ascii="宋体" w:hAnsi="宋体"/>
        <w:b/>
        <w:bCs/>
        <w:w w:val="95"/>
        <w:szCs w:val="18"/>
      </w:rPr>
      <w:t xml:space="preserve"> 页</w:t>
    </w:r>
  </w:p>
  <w:p w14:paraId="0A65A7D6">
    <w:pPr>
      <w:pStyle w:val="29"/>
      <w:ind w:firstLine="172" w:firstLineChars="100"/>
      <w:rPr>
        <w:rFonts w:ascii="宋体" w:hAnsi="宋体"/>
        <w:b/>
        <w:bCs/>
        <w:w w:val="95"/>
        <w:szCs w:val="18"/>
      </w:rPr>
    </w:pPr>
    <w:r>
      <w:rPr>
        <w:rFonts w:hint="default" w:ascii="宋体" w:hAnsi="宋体"/>
        <w:b/>
        <w:bCs/>
        <w:w w:val="95"/>
        <w:szCs w:val="18"/>
        <w:lang w:val="en-US"/>
      </w:rPr>
      <mc:AlternateContent>
        <mc:Choice Requires="wps">
          <w:drawing>
            <wp:anchor distT="0" distB="0" distL="114300" distR="114300" simplePos="0" relativeHeight="251659264" behindDoc="0" locked="0" layoutInCell="1" allowOverlap="1">
              <wp:simplePos x="0" y="0"/>
              <wp:positionH relativeFrom="column">
                <wp:posOffset>106680</wp:posOffset>
              </wp:positionH>
              <wp:positionV relativeFrom="paragraph">
                <wp:posOffset>-53340</wp:posOffset>
              </wp:positionV>
              <wp:extent cx="1476375" cy="635"/>
              <wp:effectExtent l="0" t="0" r="0" b="0"/>
              <wp:wrapNone/>
              <wp:docPr id="1" name="Line 1"/>
              <wp:cNvGraphicFramePr/>
              <a:graphic xmlns:a="http://schemas.openxmlformats.org/drawingml/2006/main">
                <a:graphicData uri="http://schemas.microsoft.com/office/word/2010/wordprocessingShape">
                  <wps:wsp>
                    <wps:cNvCnPr>
                      <a:cxnSpLocks noChangeShapeType="1"/>
                    </wps:cNvCnPr>
                    <wps:spPr bwMode="auto">
                      <a:xfrm>
                        <a:off x="0" y="0"/>
                        <a:ext cx="1476375" cy="635"/>
                      </a:xfrm>
                      <a:prstGeom prst="line">
                        <a:avLst/>
                      </a:prstGeom>
                      <a:noFill/>
                      <a:ln w="9525">
                        <a:solidFill>
                          <a:srgbClr val="000000"/>
                        </a:solidFill>
                        <a:round/>
                      </a:ln>
                      <a:effectLst/>
                    </wps:spPr>
                    <wps:bodyPr/>
                  </wps:wsp>
                </a:graphicData>
              </a:graphic>
            </wp:anchor>
          </w:drawing>
        </mc:Choice>
        <mc:Fallback>
          <w:pict>
            <v:line id="Line 1" o:spid="_x0000_s1026" o:spt="20" style="position:absolute;left:0pt;margin-left:8.4pt;margin-top:-4.2pt;height:0.05pt;width:116.25pt;z-index:251659264;mso-width-relative:page;mso-height-relative:page;" filled="f" stroked="t" coordsize="21600,21600" o:gfxdata="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">
              <v:fill on="f" focussize="0,0"/>
              <v:stroke color="#000000" joinstyle="round"/>
              <v:imagedata o:title=""/>
              <o:lock v:ext="edit" aspectratio="f"/>
            </v:line>
          </w:pict>
        </mc:Fallback>
      </mc:AlternateContent>
    </w:r>
    <w:r>
      <w:rPr>
        <w:rFonts w:hint="eastAsia" w:ascii="宋体" w:hAnsi="宋体"/>
        <w:b/>
        <w:bCs/>
        <w:w w:val="95"/>
        <w:szCs w:val="18"/>
        <w:lang w:val="en-US" w:eastAsia="zh-CN"/>
      </w:rPr>
      <w:t>施工图</w:t>
    </w:r>
    <w:r>
      <w:rPr>
        <w:rFonts w:hint="eastAsia" w:ascii="宋体" w:hAnsi="宋体"/>
        <w:b/>
        <w:bCs/>
        <w:w w:val="95"/>
        <w:szCs w:val="18"/>
      </w:rPr>
      <w:t xml:space="preserve">设计 </w:t>
    </w:r>
    <w:r>
      <w:rPr>
        <w:rFonts w:hint="eastAsia" w:ascii="宋体" w:hAnsi="宋体"/>
        <w:b/>
        <w:bCs/>
        <w:w w:val="95"/>
        <w:szCs w:val="18"/>
        <w:highlight w:val="none"/>
      </w:rPr>
      <w:t xml:space="preserve"> 20</w:t>
    </w:r>
    <w:r>
      <w:rPr>
        <w:rFonts w:hint="eastAsia" w:ascii="宋体" w:hAnsi="宋体"/>
        <w:b/>
        <w:bCs/>
        <w:w w:val="95"/>
        <w:szCs w:val="18"/>
        <w:highlight w:val="none"/>
        <w:lang w:val="en-US" w:eastAsia="zh-CN"/>
      </w:rPr>
      <w:t>25.10</w:t>
    </w:r>
    <w:r>
      <w:rPr>
        <w:rFonts w:hint="eastAsia" w:ascii="宋体" w:hAnsi="宋体"/>
        <w:b/>
        <w:bCs/>
        <w:w w:val="95"/>
        <w:szCs w:val="18"/>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796AAB">
    <w:pPr>
      <w:pStyle w:val="29"/>
      <w:framePr w:wrap="around" w:vAnchor="text" w:hAnchor="margin" w:xAlign="right" w:y="1"/>
      <w:rPr>
        <w:rStyle w:val="54"/>
      </w:rPr>
    </w:pPr>
    <w:r>
      <w:fldChar w:fldCharType="begin"/>
    </w:r>
    <w:r>
      <w:rPr>
        <w:rStyle w:val="54"/>
      </w:rPr>
      <w:instrText xml:space="preserve">PAGE  </w:instrText>
    </w:r>
    <w:r>
      <w:fldChar w:fldCharType="separate"/>
    </w:r>
    <w:r>
      <w:rPr>
        <w:rStyle w:val="54"/>
      </w:rPr>
      <w:t>1</w:t>
    </w:r>
    <w:r>
      <w:fldChar w:fldCharType="end"/>
    </w:r>
  </w:p>
  <w:p w14:paraId="437D5B87">
    <w:pPr>
      <w:pStyle w:val="29"/>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8A9C06">
    <w:pPr>
      <w:pStyle w:val="30"/>
      <w:keepNext w:val="0"/>
      <w:keepLines w:val="0"/>
      <w:pageBreakBefore w:val="0"/>
      <w:widowControl w:val="0"/>
      <w:kinsoku/>
      <w:wordWrap/>
      <w:overflowPunct/>
      <w:topLinePunct w:val="0"/>
      <w:autoSpaceDE/>
      <w:autoSpaceDN/>
      <w:bidi w:val="0"/>
      <w:adjustRightInd/>
      <w:snapToGrid w:val="0"/>
      <w:jc w:val="left"/>
      <w:textAlignment w:val="auto"/>
      <w:rPr>
        <w:rFonts w:hint="default" w:ascii="宋体" w:hAnsi="宋体"/>
        <w:b/>
        <w:snapToGrid w:val="0"/>
        <w:kern w:val="0"/>
        <w:sz w:val="21"/>
        <w:szCs w:val="21"/>
        <w:highlight w:val="none"/>
        <w:lang w:val="en-US" w:eastAsia="zh-CN"/>
      </w:rPr>
    </w:pPr>
    <w:r>
      <w:rPr>
        <w:rFonts w:hint="eastAsia" w:ascii="宋体" w:hAnsi="宋体"/>
        <w:b/>
        <w:snapToGrid w:val="0"/>
        <w:kern w:val="0"/>
        <w:sz w:val="21"/>
        <w:szCs w:val="21"/>
        <w:highlight w:val="none"/>
        <w:lang w:val="en-US" w:eastAsia="zh-CN"/>
      </w:rPr>
      <w:t xml:space="preserve"> </w:t>
    </w:r>
  </w:p>
  <w:p w14:paraId="07DF792A">
    <w:pPr>
      <w:pStyle w:val="30"/>
      <w:keepNext w:val="0"/>
      <w:keepLines w:val="0"/>
      <w:pageBreakBefore w:val="0"/>
      <w:widowControl w:val="0"/>
      <w:kinsoku/>
      <w:wordWrap/>
      <w:overflowPunct/>
      <w:topLinePunct w:val="0"/>
      <w:autoSpaceDE/>
      <w:autoSpaceDN/>
      <w:bidi w:val="0"/>
      <w:adjustRightInd/>
      <w:snapToGrid w:val="0"/>
      <w:jc w:val="left"/>
      <w:textAlignment w:val="auto"/>
      <w:rPr>
        <w:rFonts w:hint="default" w:ascii="宋体" w:hAnsi="宋体" w:eastAsia="宋体"/>
        <w:b/>
        <w:snapToGrid w:val="0"/>
        <w:sz w:val="21"/>
        <w:szCs w:val="21"/>
        <w:lang w:val="en-US" w:eastAsia="zh-CN"/>
      </w:rPr>
    </w:pPr>
    <w:r>
      <w:rPr>
        <w:rFonts w:hint="eastAsia" w:ascii="宋体" w:hAnsi="宋体"/>
        <w:b/>
        <w:snapToGrid w:val="0"/>
        <w:kern w:val="0"/>
        <w:sz w:val="21"/>
        <w:szCs w:val="21"/>
        <w:highlight w:val="none"/>
        <w:lang w:val="en-US" w:eastAsia="zh-CN"/>
      </w:rPr>
      <w:t>桂林市漓江干支流“消劣返清”项目（七星区特作院小区）</w:t>
    </w:r>
    <w:r>
      <w:rPr>
        <w:rFonts w:hint="eastAsia" w:ascii="宋体" w:hAnsi="宋体"/>
        <w:snapToGrid w:val="0"/>
        <w:kern w:val="0"/>
        <w:sz w:val="21"/>
        <w:szCs w:val="21"/>
      </w:rPr>
      <w:t xml:space="preserve">                         </w:t>
    </w:r>
    <w:r>
      <w:rPr>
        <w:rFonts w:ascii="宋体" w:hAnsi="宋体"/>
        <w:snapToGrid w:val="0"/>
        <w:kern w:val="0"/>
        <w:sz w:val="21"/>
        <w:szCs w:val="21"/>
      </w:rPr>
      <w:t xml:space="preserve">  </w:t>
    </w:r>
    <w:r>
      <w:rPr>
        <w:rFonts w:hint="eastAsia" w:ascii="宋体" w:hAnsi="宋体"/>
        <w:snapToGrid w:val="0"/>
        <w:kern w:val="0"/>
        <w:sz w:val="21"/>
        <w:szCs w:val="21"/>
      </w:rPr>
      <w:t xml:space="preserve"> </w:t>
    </w:r>
    <w:r>
      <w:rPr>
        <w:rFonts w:ascii="宋体" w:hAnsi="宋体"/>
        <w:snapToGrid w:val="0"/>
        <w:kern w:val="0"/>
        <w:sz w:val="21"/>
        <w:szCs w:val="21"/>
      </w:rPr>
      <w:t xml:space="preserve"> </w:t>
    </w:r>
    <w:r>
      <w:rPr>
        <w:rFonts w:hint="eastAsia" w:ascii="宋体" w:hAnsi="宋体"/>
        <w:snapToGrid w:val="0"/>
        <w:kern w:val="0"/>
        <w:sz w:val="21"/>
        <w:szCs w:val="21"/>
      </w:rPr>
      <w:t xml:space="preserve"> </w:t>
    </w:r>
    <w:r>
      <w:rPr>
        <w:rFonts w:ascii="宋体" w:hAnsi="宋体"/>
        <w:snapToGrid w:val="0"/>
        <w:kern w:val="0"/>
        <w:sz w:val="21"/>
        <w:szCs w:val="21"/>
      </w:rPr>
      <w:t xml:space="preserve"> </w:t>
    </w:r>
    <w:r>
      <w:rPr>
        <w:rFonts w:hint="eastAsia" w:ascii="宋体" w:hAnsi="宋体"/>
        <w:snapToGrid w:val="0"/>
        <w:kern w:val="0"/>
        <w:sz w:val="21"/>
        <w:szCs w:val="21"/>
      </w:rPr>
      <w:t xml:space="preserve">                  </w:t>
    </w:r>
    <w:r>
      <w:rPr>
        <w:rFonts w:hint="eastAsia" w:ascii="宋体" w:hAnsi="宋体"/>
        <w:snapToGrid w:val="0"/>
        <w:kern w:val="0"/>
        <w:sz w:val="21"/>
        <w:szCs w:val="21"/>
        <w:lang w:val="en-US" w:eastAsia="zh-CN"/>
      </w:rPr>
      <w:t xml:space="preserve">                                  </w:t>
    </w:r>
    <w:r>
      <w:rPr>
        <w:rFonts w:hint="eastAsia" w:ascii="宋体" w:hAnsi="宋体"/>
        <w:snapToGrid w:val="0"/>
        <w:kern w:val="0"/>
        <w:sz w:val="21"/>
        <w:szCs w:val="21"/>
      </w:rPr>
      <w:t xml:space="preserve"> </w:t>
    </w:r>
    <w:r>
      <w:rPr>
        <w:rFonts w:hint="eastAsia" w:ascii="宋体" w:hAnsi="宋体"/>
        <w:snapToGrid w:val="0"/>
        <w:kern w:val="0"/>
        <w:sz w:val="21"/>
        <w:szCs w:val="21"/>
        <w:lang w:val="en-US" w:eastAsia="zh-CN"/>
      </w:rPr>
      <w:t xml:space="preserve">                                            </w:t>
    </w:r>
    <w:r>
      <w:rPr>
        <w:rFonts w:hint="eastAsia" w:ascii="宋体" w:hAnsi="宋体"/>
        <w:b/>
        <w:snapToGrid w:val="0"/>
        <w:sz w:val="21"/>
        <w:szCs w:val="21"/>
        <w:lang w:val="en-US" w:eastAsia="zh-CN"/>
      </w:rPr>
      <w:t>施工图</w:t>
    </w:r>
    <w:r>
      <w:rPr>
        <w:rFonts w:hint="eastAsia" w:ascii="宋体" w:hAnsi="宋体"/>
        <w:b/>
        <w:snapToGrid w:val="0"/>
        <w:sz w:val="21"/>
        <w:szCs w:val="21"/>
      </w:rPr>
      <w:t>设计说明</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4137676"/>
    <w:multiLevelType w:val="singleLevel"/>
    <w:tmpl w:val="94137676"/>
    <w:lvl w:ilvl="0" w:tentative="0">
      <w:start w:val="1"/>
      <w:numFmt w:val="chineseCounting"/>
      <w:suff w:val="nothing"/>
      <w:lvlText w:val="%1、"/>
      <w:lvlJc w:val="left"/>
      <w:rPr>
        <w:rFonts w:hint="eastAsia"/>
      </w:rPr>
    </w:lvl>
  </w:abstractNum>
  <w:abstractNum w:abstractNumId="1">
    <w:nsid w:val="D9AC755B"/>
    <w:multiLevelType w:val="singleLevel"/>
    <w:tmpl w:val="D9AC755B"/>
    <w:lvl w:ilvl="0" w:tentative="0">
      <w:start w:val="1"/>
      <w:numFmt w:val="decimal"/>
      <w:suff w:val="nothing"/>
      <w:lvlText w:val="%1、"/>
      <w:lvlJc w:val="left"/>
    </w:lvl>
  </w:abstractNum>
  <w:abstractNum w:abstractNumId="2">
    <w:nsid w:val="0000001E"/>
    <w:multiLevelType w:val="singleLevel"/>
    <w:tmpl w:val="0000001E"/>
    <w:lvl w:ilvl="0" w:tentative="0">
      <w:start w:val="1"/>
      <w:numFmt w:val="upperLetter"/>
      <w:lvlText w:val="%1、"/>
      <w:lvlJc w:val="left"/>
      <w:pPr>
        <w:tabs>
          <w:tab w:val="left" w:pos="2070"/>
        </w:tabs>
        <w:ind w:left="2070" w:hanging="420"/>
      </w:pPr>
      <w:rPr>
        <w:rFonts w:hint="eastAsia"/>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5"/>
  <w:displayHorizontalDrawingGridEvery w:val="1"/>
  <w:displayVerticalDrawingGridEvery w:val="1"/>
  <w:noPunctuationKerning w:val="1"/>
  <w:characterSpacingControl w:val="doNotCompress"/>
  <w:hdrShapeDefaults>
    <o:shapelayout v:ext="edit">
      <o:idmap v:ext="edit" data="3,4"/>
    </o:shapelayout>
  </w:hdrShapeDefaults>
  <w:compat>
    <w:doNotExpandShiftReturn/>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MwZDcwZDc2MGQ5ZjkxZjA5ZTFhMDAxNTRhOTVlMDgifQ=="/>
    <w:docVar w:name="KSO_WPS_MARK_KEY" w:val="06cf65f5-f8a9-4e38-bfad-a03f578d8350"/>
  </w:docVars>
  <w:rsids>
    <w:rsidRoot w:val="00172A27"/>
    <w:rsid w:val="0000083D"/>
    <w:rsid w:val="00001058"/>
    <w:rsid w:val="00001F8A"/>
    <w:rsid w:val="00001FD3"/>
    <w:rsid w:val="000049CA"/>
    <w:rsid w:val="00004E9B"/>
    <w:rsid w:val="00005216"/>
    <w:rsid w:val="00005FF3"/>
    <w:rsid w:val="000060CC"/>
    <w:rsid w:val="0000642D"/>
    <w:rsid w:val="00006768"/>
    <w:rsid w:val="000072A1"/>
    <w:rsid w:val="000073BC"/>
    <w:rsid w:val="000104CD"/>
    <w:rsid w:val="0001060F"/>
    <w:rsid w:val="00010F39"/>
    <w:rsid w:val="00011504"/>
    <w:rsid w:val="000123B1"/>
    <w:rsid w:val="000124F3"/>
    <w:rsid w:val="00012F58"/>
    <w:rsid w:val="00015ECF"/>
    <w:rsid w:val="000161BB"/>
    <w:rsid w:val="00017E07"/>
    <w:rsid w:val="000225A1"/>
    <w:rsid w:val="00022819"/>
    <w:rsid w:val="000230AD"/>
    <w:rsid w:val="00023181"/>
    <w:rsid w:val="000249BA"/>
    <w:rsid w:val="00024C20"/>
    <w:rsid w:val="000254A2"/>
    <w:rsid w:val="00025BCD"/>
    <w:rsid w:val="00025E7C"/>
    <w:rsid w:val="0002699A"/>
    <w:rsid w:val="000278E6"/>
    <w:rsid w:val="00030D2A"/>
    <w:rsid w:val="00031D09"/>
    <w:rsid w:val="000330A4"/>
    <w:rsid w:val="00033A8D"/>
    <w:rsid w:val="0003477E"/>
    <w:rsid w:val="00034852"/>
    <w:rsid w:val="00034B18"/>
    <w:rsid w:val="0003623F"/>
    <w:rsid w:val="00036CDF"/>
    <w:rsid w:val="00036DA3"/>
    <w:rsid w:val="00037368"/>
    <w:rsid w:val="00037522"/>
    <w:rsid w:val="0003754E"/>
    <w:rsid w:val="00042EE4"/>
    <w:rsid w:val="00043D40"/>
    <w:rsid w:val="0004498F"/>
    <w:rsid w:val="00045E07"/>
    <w:rsid w:val="00046383"/>
    <w:rsid w:val="00047844"/>
    <w:rsid w:val="000506D4"/>
    <w:rsid w:val="00052F3E"/>
    <w:rsid w:val="000537FF"/>
    <w:rsid w:val="000557CF"/>
    <w:rsid w:val="00055DE3"/>
    <w:rsid w:val="0005668A"/>
    <w:rsid w:val="00056829"/>
    <w:rsid w:val="000601F5"/>
    <w:rsid w:val="00061BA4"/>
    <w:rsid w:val="00062A0F"/>
    <w:rsid w:val="00062BE0"/>
    <w:rsid w:val="0006517C"/>
    <w:rsid w:val="0006649C"/>
    <w:rsid w:val="00066A85"/>
    <w:rsid w:val="00066AC7"/>
    <w:rsid w:val="00070858"/>
    <w:rsid w:val="00071E19"/>
    <w:rsid w:val="00072CA0"/>
    <w:rsid w:val="0007355F"/>
    <w:rsid w:val="00074423"/>
    <w:rsid w:val="0007488E"/>
    <w:rsid w:val="00074BEB"/>
    <w:rsid w:val="00075147"/>
    <w:rsid w:val="000754CF"/>
    <w:rsid w:val="00075A04"/>
    <w:rsid w:val="0007610F"/>
    <w:rsid w:val="00076832"/>
    <w:rsid w:val="00077204"/>
    <w:rsid w:val="000778D1"/>
    <w:rsid w:val="000805F5"/>
    <w:rsid w:val="00080F60"/>
    <w:rsid w:val="0008231A"/>
    <w:rsid w:val="000828F8"/>
    <w:rsid w:val="00082E4F"/>
    <w:rsid w:val="0008387C"/>
    <w:rsid w:val="00083FD0"/>
    <w:rsid w:val="00086787"/>
    <w:rsid w:val="00087C22"/>
    <w:rsid w:val="0009063A"/>
    <w:rsid w:val="00092C5C"/>
    <w:rsid w:val="00092D3B"/>
    <w:rsid w:val="000933ED"/>
    <w:rsid w:val="00093889"/>
    <w:rsid w:val="000943E1"/>
    <w:rsid w:val="0009456D"/>
    <w:rsid w:val="00094758"/>
    <w:rsid w:val="00094836"/>
    <w:rsid w:val="000956A1"/>
    <w:rsid w:val="00095F7C"/>
    <w:rsid w:val="00096CE9"/>
    <w:rsid w:val="000A0FB8"/>
    <w:rsid w:val="000A1057"/>
    <w:rsid w:val="000A10AC"/>
    <w:rsid w:val="000A2C81"/>
    <w:rsid w:val="000A2DB0"/>
    <w:rsid w:val="000A33A1"/>
    <w:rsid w:val="000A3CEC"/>
    <w:rsid w:val="000A4DE9"/>
    <w:rsid w:val="000A5F07"/>
    <w:rsid w:val="000A786F"/>
    <w:rsid w:val="000A7A21"/>
    <w:rsid w:val="000A7EB5"/>
    <w:rsid w:val="000B1214"/>
    <w:rsid w:val="000B29BC"/>
    <w:rsid w:val="000B3A19"/>
    <w:rsid w:val="000B51AE"/>
    <w:rsid w:val="000B5690"/>
    <w:rsid w:val="000B5A62"/>
    <w:rsid w:val="000B7778"/>
    <w:rsid w:val="000B7D18"/>
    <w:rsid w:val="000C16B6"/>
    <w:rsid w:val="000C2B79"/>
    <w:rsid w:val="000C3ADC"/>
    <w:rsid w:val="000C5516"/>
    <w:rsid w:val="000C5534"/>
    <w:rsid w:val="000C7890"/>
    <w:rsid w:val="000C79C0"/>
    <w:rsid w:val="000C7C3F"/>
    <w:rsid w:val="000D2232"/>
    <w:rsid w:val="000D311A"/>
    <w:rsid w:val="000D3795"/>
    <w:rsid w:val="000D48A9"/>
    <w:rsid w:val="000D53D2"/>
    <w:rsid w:val="000D724C"/>
    <w:rsid w:val="000E0AC4"/>
    <w:rsid w:val="000E0B76"/>
    <w:rsid w:val="000E4A5C"/>
    <w:rsid w:val="000E65D8"/>
    <w:rsid w:val="000E72DB"/>
    <w:rsid w:val="000E7B31"/>
    <w:rsid w:val="000F1420"/>
    <w:rsid w:val="000F25DB"/>
    <w:rsid w:val="000F3682"/>
    <w:rsid w:val="000F46AB"/>
    <w:rsid w:val="000F5213"/>
    <w:rsid w:val="000F562F"/>
    <w:rsid w:val="000F63F1"/>
    <w:rsid w:val="000F669D"/>
    <w:rsid w:val="000F6CF9"/>
    <w:rsid w:val="001004C3"/>
    <w:rsid w:val="00101043"/>
    <w:rsid w:val="001019D8"/>
    <w:rsid w:val="00101EE4"/>
    <w:rsid w:val="00101F48"/>
    <w:rsid w:val="001036FA"/>
    <w:rsid w:val="0010499A"/>
    <w:rsid w:val="00105895"/>
    <w:rsid w:val="0010593A"/>
    <w:rsid w:val="001074CB"/>
    <w:rsid w:val="00110849"/>
    <w:rsid w:val="00110E82"/>
    <w:rsid w:val="001110C2"/>
    <w:rsid w:val="0011361C"/>
    <w:rsid w:val="001148A3"/>
    <w:rsid w:val="00115360"/>
    <w:rsid w:val="001153A6"/>
    <w:rsid w:val="001175A1"/>
    <w:rsid w:val="00117C7D"/>
    <w:rsid w:val="00120108"/>
    <w:rsid w:val="00121530"/>
    <w:rsid w:val="0012190B"/>
    <w:rsid w:val="00122EFC"/>
    <w:rsid w:val="00124D51"/>
    <w:rsid w:val="001257DB"/>
    <w:rsid w:val="00125B72"/>
    <w:rsid w:val="00125F5F"/>
    <w:rsid w:val="00126252"/>
    <w:rsid w:val="00126A69"/>
    <w:rsid w:val="00126E9A"/>
    <w:rsid w:val="00127C9D"/>
    <w:rsid w:val="001306E4"/>
    <w:rsid w:val="00130C91"/>
    <w:rsid w:val="00131269"/>
    <w:rsid w:val="0013253C"/>
    <w:rsid w:val="001336AB"/>
    <w:rsid w:val="00135EBE"/>
    <w:rsid w:val="00135FB1"/>
    <w:rsid w:val="00137EB4"/>
    <w:rsid w:val="00140B91"/>
    <w:rsid w:val="00142343"/>
    <w:rsid w:val="001426F2"/>
    <w:rsid w:val="001428DA"/>
    <w:rsid w:val="00142DC2"/>
    <w:rsid w:val="00143237"/>
    <w:rsid w:val="001454D8"/>
    <w:rsid w:val="00146123"/>
    <w:rsid w:val="0014628E"/>
    <w:rsid w:val="001467BC"/>
    <w:rsid w:val="00147D4F"/>
    <w:rsid w:val="00150ED9"/>
    <w:rsid w:val="00152225"/>
    <w:rsid w:val="00153947"/>
    <w:rsid w:val="00153F5C"/>
    <w:rsid w:val="00154B04"/>
    <w:rsid w:val="00155E85"/>
    <w:rsid w:val="001560B9"/>
    <w:rsid w:val="00156CFE"/>
    <w:rsid w:val="00157A6F"/>
    <w:rsid w:val="00157E77"/>
    <w:rsid w:val="00161E40"/>
    <w:rsid w:val="001624F1"/>
    <w:rsid w:val="00164920"/>
    <w:rsid w:val="00165430"/>
    <w:rsid w:val="0017033C"/>
    <w:rsid w:val="0017095B"/>
    <w:rsid w:val="0017142A"/>
    <w:rsid w:val="00171CFF"/>
    <w:rsid w:val="00171F0B"/>
    <w:rsid w:val="0017246F"/>
    <w:rsid w:val="00172943"/>
    <w:rsid w:val="00172A27"/>
    <w:rsid w:val="00173710"/>
    <w:rsid w:val="00173A54"/>
    <w:rsid w:val="00174668"/>
    <w:rsid w:val="00174CB1"/>
    <w:rsid w:val="00176303"/>
    <w:rsid w:val="001803DD"/>
    <w:rsid w:val="001816A4"/>
    <w:rsid w:val="00181863"/>
    <w:rsid w:val="00182D8F"/>
    <w:rsid w:val="00183EB7"/>
    <w:rsid w:val="00184274"/>
    <w:rsid w:val="00185CB2"/>
    <w:rsid w:val="00187A64"/>
    <w:rsid w:val="00191A46"/>
    <w:rsid w:val="00192EB5"/>
    <w:rsid w:val="00194A7C"/>
    <w:rsid w:val="00195A94"/>
    <w:rsid w:val="0019701B"/>
    <w:rsid w:val="001A183E"/>
    <w:rsid w:val="001A2366"/>
    <w:rsid w:val="001A2B0E"/>
    <w:rsid w:val="001A30B4"/>
    <w:rsid w:val="001A3D50"/>
    <w:rsid w:val="001A4E41"/>
    <w:rsid w:val="001A5B0A"/>
    <w:rsid w:val="001A73DA"/>
    <w:rsid w:val="001A771C"/>
    <w:rsid w:val="001B057F"/>
    <w:rsid w:val="001B069E"/>
    <w:rsid w:val="001B0F5B"/>
    <w:rsid w:val="001B3591"/>
    <w:rsid w:val="001B375D"/>
    <w:rsid w:val="001B3C98"/>
    <w:rsid w:val="001B5326"/>
    <w:rsid w:val="001B55A9"/>
    <w:rsid w:val="001B5854"/>
    <w:rsid w:val="001B5C7E"/>
    <w:rsid w:val="001C02AF"/>
    <w:rsid w:val="001C1147"/>
    <w:rsid w:val="001C1605"/>
    <w:rsid w:val="001C1B8B"/>
    <w:rsid w:val="001C296D"/>
    <w:rsid w:val="001C30E3"/>
    <w:rsid w:val="001C3B12"/>
    <w:rsid w:val="001C3BEE"/>
    <w:rsid w:val="001C494A"/>
    <w:rsid w:val="001C5C48"/>
    <w:rsid w:val="001C7454"/>
    <w:rsid w:val="001D14B6"/>
    <w:rsid w:val="001D1906"/>
    <w:rsid w:val="001D1ABF"/>
    <w:rsid w:val="001D36CF"/>
    <w:rsid w:val="001D3859"/>
    <w:rsid w:val="001D4957"/>
    <w:rsid w:val="001D60BF"/>
    <w:rsid w:val="001D66BF"/>
    <w:rsid w:val="001E0B3A"/>
    <w:rsid w:val="001E1CA0"/>
    <w:rsid w:val="001E2624"/>
    <w:rsid w:val="001E263A"/>
    <w:rsid w:val="001E38BB"/>
    <w:rsid w:val="001E3E2E"/>
    <w:rsid w:val="001E6499"/>
    <w:rsid w:val="001E66FE"/>
    <w:rsid w:val="001E7531"/>
    <w:rsid w:val="001E76B2"/>
    <w:rsid w:val="001E7A43"/>
    <w:rsid w:val="001F1355"/>
    <w:rsid w:val="001F27AD"/>
    <w:rsid w:val="001F2BA2"/>
    <w:rsid w:val="001F2C65"/>
    <w:rsid w:val="001F2D57"/>
    <w:rsid w:val="001F4167"/>
    <w:rsid w:val="001F4621"/>
    <w:rsid w:val="001F4DE8"/>
    <w:rsid w:val="001F5D77"/>
    <w:rsid w:val="002006D8"/>
    <w:rsid w:val="00201BB3"/>
    <w:rsid w:val="00201C9F"/>
    <w:rsid w:val="002021DF"/>
    <w:rsid w:val="00203C89"/>
    <w:rsid w:val="002040AC"/>
    <w:rsid w:val="00204F11"/>
    <w:rsid w:val="00205222"/>
    <w:rsid w:val="0020555A"/>
    <w:rsid w:val="00205A86"/>
    <w:rsid w:val="00211F27"/>
    <w:rsid w:val="0021289A"/>
    <w:rsid w:val="00213BD9"/>
    <w:rsid w:val="0021437A"/>
    <w:rsid w:val="00216271"/>
    <w:rsid w:val="0021773E"/>
    <w:rsid w:val="00220224"/>
    <w:rsid w:val="00220DA7"/>
    <w:rsid w:val="00221CEC"/>
    <w:rsid w:val="00222028"/>
    <w:rsid w:val="00222EBC"/>
    <w:rsid w:val="00223C33"/>
    <w:rsid w:val="0022520C"/>
    <w:rsid w:val="00225406"/>
    <w:rsid w:val="00225F9F"/>
    <w:rsid w:val="00226FC6"/>
    <w:rsid w:val="00230C48"/>
    <w:rsid w:val="00233146"/>
    <w:rsid w:val="0023369D"/>
    <w:rsid w:val="00233EA9"/>
    <w:rsid w:val="00234B4C"/>
    <w:rsid w:val="00236B95"/>
    <w:rsid w:val="00236E4D"/>
    <w:rsid w:val="00237446"/>
    <w:rsid w:val="002374A4"/>
    <w:rsid w:val="00240BF3"/>
    <w:rsid w:val="00240CD5"/>
    <w:rsid w:val="00242A61"/>
    <w:rsid w:val="0024364E"/>
    <w:rsid w:val="00246202"/>
    <w:rsid w:val="00246A88"/>
    <w:rsid w:val="00246D5C"/>
    <w:rsid w:val="0024713C"/>
    <w:rsid w:val="00250EB0"/>
    <w:rsid w:val="002534D3"/>
    <w:rsid w:val="00253C30"/>
    <w:rsid w:val="00255208"/>
    <w:rsid w:val="0025534B"/>
    <w:rsid w:val="002554E5"/>
    <w:rsid w:val="00255622"/>
    <w:rsid w:val="00257023"/>
    <w:rsid w:val="00257676"/>
    <w:rsid w:val="002602E7"/>
    <w:rsid w:val="00260956"/>
    <w:rsid w:val="002611CF"/>
    <w:rsid w:val="002637AC"/>
    <w:rsid w:val="00263F97"/>
    <w:rsid w:val="00266024"/>
    <w:rsid w:val="002665E2"/>
    <w:rsid w:val="00266BDA"/>
    <w:rsid w:val="002672E4"/>
    <w:rsid w:val="00267612"/>
    <w:rsid w:val="002676FD"/>
    <w:rsid w:val="00267717"/>
    <w:rsid w:val="002716DA"/>
    <w:rsid w:val="00271A23"/>
    <w:rsid w:val="00272253"/>
    <w:rsid w:val="002722E7"/>
    <w:rsid w:val="00272377"/>
    <w:rsid w:val="0027424A"/>
    <w:rsid w:val="0027698C"/>
    <w:rsid w:val="002769CF"/>
    <w:rsid w:val="00277420"/>
    <w:rsid w:val="00277CB8"/>
    <w:rsid w:val="00277F7E"/>
    <w:rsid w:val="00280A55"/>
    <w:rsid w:val="0028186B"/>
    <w:rsid w:val="00282040"/>
    <w:rsid w:val="0028278B"/>
    <w:rsid w:val="00282CAB"/>
    <w:rsid w:val="00282D89"/>
    <w:rsid w:val="00283C3D"/>
    <w:rsid w:val="00283E7C"/>
    <w:rsid w:val="002846C3"/>
    <w:rsid w:val="00284938"/>
    <w:rsid w:val="0028773B"/>
    <w:rsid w:val="00287EB6"/>
    <w:rsid w:val="0029044F"/>
    <w:rsid w:val="002904D0"/>
    <w:rsid w:val="00290A20"/>
    <w:rsid w:val="002915E4"/>
    <w:rsid w:val="002925A4"/>
    <w:rsid w:val="0029267A"/>
    <w:rsid w:val="00292B51"/>
    <w:rsid w:val="00292F47"/>
    <w:rsid w:val="002936C6"/>
    <w:rsid w:val="00294667"/>
    <w:rsid w:val="00294A02"/>
    <w:rsid w:val="00294CA7"/>
    <w:rsid w:val="0029527D"/>
    <w:rsid w:val="002953B7"/>
    <w:rsid w:val="00295644"/>
    <w:rsid w:val="002971F2"/>
    <w:rsid w:val="002A00CD"/>
    <w:rsid w:val="002A01D2"/>
    <w:rsid w:val="002A063C"/>
    <w:rsid w:val="002A10AB"/>
    <w:rsid w:val="002A157E"/>
    <w:rsid w:val="002A2465"/>
    <w:rsid w:val="002A2A3D"/>
    <w:rsid w:val="002A37F9"/>
    <w:rsid w:val="002A4E4B"/>
    <w:rsid w:val="002A608C"/>
    <w:rsid w:val="002A6538"/>
    <w:rsid w:val="002A71DA"/>
    <w:rsid w:val="002B11A0"/>
    <w:rsid w:val="002B1E26"/>
    <w:rsid w:val="002B2263"/>
    <w:rsid w:val="002B29C9"/>
    <w:rsid w:val="002B4950"/>
    <w:rsid w:val="002B504D"/>
    <w:rsid w:val="002B53E7"/>
    <w:rsid w:val="002B5BC3"/>
    <w:rsid w:val="002C0A4A"/>
    <w:rsid w:val="002C0D42"/>
    <w:rsid w:val="002C106A"/>
    <w:rsid w:val="002C1EA4"/>
    <w:rsid w:val="002C3596"/>
    <w:rsid w:val="002C3725"/>
    <w:rsid w:val="002C4D30"/>
    <w:rsid w:val="002C5676"/>
    <w:rsid w:val="002C679E"/>
    <w:rsid w:val="002C68CC"/>
    <w:rsid w:val="002C6F43"/>
    <w:rsid w:val="002C6F9C"/>
    <w:rsid w:val="002D1751"/>
    <w:rsid w:val="002D1CD5"/>
    <w:rsid w:val="002D2A45"/>
    <w:rsid w:val="002D462D"/>
    <w:rsid w:val="002D4C78"/>
    <w:rsid w:val="002D51D4"/>
    <w:rsid w:val="002D5BE6"/>
    <w:rsid w:val="002D61C4"/>
    <w:rsid w:val="002D68BB"/>
    <w:rsid w:val="002D68BC"/>
    <w:rsid w:val="002D6E3A"/>
    <w:rsid w:val="002D6EE6"/>
    <w:rsid w:val="002D6F06"/>
    <w:rsid w:val="002D75F1"/>
    <w:rsid w:val="002E0086"/>
    <w:rsid w:val="002E16AD"/>
    <w:rsid w:val="002E17F8"/>
    <w:rsid w:val="002E1C86"/>
    <w:rsid w:val="002E1E12"/>
    <w:rsid w:val="002E22E9"/>
    <w:rsid w:val="002E2496"/>
    <w:rsid w:val="002E2883"/>
    <w:rsid w:val="002E2A11"/>
    <w:rsid w:val="002E38D3"/>
    <w:rsid w:val="002E3BB6"/>
    <w:rsid w:val="002E4064"/>
    <w:rsid w:val="002E42AB"/>
    <w:rsid w:val="002E64E2"/>
    <w:rsid w:val="002E7786"/>
    <w:rsid w:val="002F048C"/>
    <w:rsid w:val="002F2CA2"/>
    <w:rsid w:val="002F3290"/>
    <w:rsid w:val="002F3416"/>
    <w:rsid w:val="002F4E4D"/>
    <w:rsid w:val="002F689C"/>
    <w:rsid w:val="002F7716"/>
    <w:rsid w:val="003007D1"/>
    <w:rsid w:val="00300CF4"/>
    <w:rsid w:val="00303DF9"/>
    <w:rsid w:val="00304709"/>
    <w:rsid w:val="00304B1E"/>
    <w:rsid w:val="003054ED"/>
    <w:rsid w:val="003054F5"/>
    <w:rsid w:val="003067A3"/>
    <w:rsid w:val="00306A89"/>
    <w:rsid w:val="00306F9A"/>
    <w:rsid w:val="00307669"/>
    <w:rsid w:val="00307AF7"/>
    <w:rsid w:val="00307D72"/>
    <w:rsid w:val="00307EED"/>
    <w:rsid w:val="00311F74"/>
    <w:rsid w:val="003129DB"/>
    <w:rsid w:val="00313B70"/>
    <w:rsid w:val="0031404B"/>
    <w:rsid w:val="00314C55"/>
    <w:rsid w:val="00316023"/>
    <w:rsid w:val="00317D45"/>
    <w:rsid w:val="00321773"/>
    <w:rsid w:val="00321F50"/>
    <w:rsid w:val="00321F61"/>
    <w:rsid w:val="00323C1B"/>
    <w:rsid w:val="003245D7"/>
    <w:rsid w:val="003249A9"/>
    <w:rsid w:val="00325E47"/>
    <w:rsid w:val="003263E9"/>
    <w:rsid w:val="0032682B"/>
    <w:rsid w:val="00326EA5"/>
    <w:rsid w:val="00330A38"/>
    <w:rsid w:val="00331677"/>
    <w:rsid w:val="00331833"/>
    <w:rsid w:val="003330A6"/>
    <w:rsid w:val="00334F29"/>
    <w:rsid w:val="00335DA1"/>
    <w:rsid w:val="00336ECB"/>
    <w:rsid w:val="00340302"/>
    <w:rsid w:val="003404D6"/>
    <w:rsid w:val="003411D1"/>
    <w:rsid w:val="003430DA"/>
    <w:rsid w:val="00346693"/>
    <w:rsid w:val="0034738D"/>
    <w:rsid w:val="00350D6D"/>
    <w:rsid w:val="003516FF"/>
    <w:rsid w:val="00351A49"/>
    <w:rsid w:val="00352DC4"/>
    <w:rsid w:val="003530D9"/>
    <w:rsid w:val="003531FE"/>
    <w:rsid w:val="00354AF0"/>
    <w:rsid w:val="00354E4B"/>
    <w:rsid w:val="00355C6C"/>
    <w:rsid w:val="003563C5"/>
    <w:rsid w:val="00356EBA"/>
    <w:rsid w:val="00357810"/>
    <w:rsid w:val="00360BC8"/>
    <w:rsid w:val="00360C30"/>
    <w:rsid w:val="00360FDD"/>
    <w:rsid w:val="00360FE7"/>
    <w:rsid w:val="00361803"/>
    <w:rsid w:val="00361FC5"/>
    <w:rsid w:val="00364062"/>
    <w:rsid w:val="0036464A"/>
    <w:rsid w:val="00364A07"/>
    <w:rsid w:val="0036526D"/>
    <w:rsid w:val="00365619"/>
    <w:rsid w:val="00365B80"/>
    <w:rsid w:val="003676C7"/>
    <w:rsid w:val="00370019"/>
    <w:rsid w:val="00370647"/>
    <w:rsid w:val="00371939"/>
    <w:rsid w:val="0037259E"/>
    <w:rsid w:val="0037266E"/>
    <w:rsid w:val="00372F35"/>
    <w:rsid w:val="00373D9B"/>
    <w:rsid w:val="003740B2"/>
    <w:rsid w:val="0037462D"/>
    <w:rsid w:val="003747D3"/>
    <w:rsid w:val="00374E7B"/>
    <w:rsid w:val="00374F97"/>
    <w:rsid w:val="00375684"/>
    <w:rsid w:val="00375A37"/>
    <w:rsid w:val="00376586"/>
    <w:rsid w:val="003765C4"/>
    <w:rsid w:val="00377D5F"/>
    <w:rsid w:val="003825A3"/>
    <w:rsid w:val="003836AE"/>
    <w:rsid w:val="00384167"/>
    <w:rsid w:val="00386E7E"/>
    <w:rsid w:val="00387AD5"/>
    <w:rsid w:val="00391F5A"/>
    <w:rsid w:val="00392023"/>
    <w:rsid w:val="003925FF"/>
    <w:rsid w:val="00392CC4"/>
    <w:rsid w:val="00392F58"/>
    <w:rsid w:val="003946FE"/>
    <w:rsid w:val="0039592E"/>
    <w:rsid w:val="00397101"/>
    <w:rsid w:val="00397A5B"/>
    <w:rsid w:val="003A04BD"/>
    <w:rsid w:val="003A07D0"/>
    <w:rsid w:val="003A1F3C"/>
    <w:rsid w:val="003A2B38"/>
    <w:rsid w:val="003A2BB2"/>
    <w:rsid w:val="003A32F1"/>
    <w:rsid w:val="003A4489"/>
    <w:rsid w:val="003A5102"/>
    <w:rsid w:val="003A58A0"/>
    <w:rsid w:val="003A5BFC"/>
    <w:rsid w:val="003B1DBB"/>
    <w:rsid w:val="003B318E"/>
    <w:rsid w:val="003B34FE"/>
    <w:rsid w:val="003B3953"/>
    <w:rsid w:val="003B436A"/>
    <w:rsid w:val="003B44C6"/>
    <w:rsid w:val="003B506B"/>
    <w:rsid w:val="003B6D2A"/>
    <w:rsid w:val="003C00C2"/>
    <w:rsid w:val="003C0182"/>
    <w:rsid w:val="003C3B14"/>
    <w:rsid w:val="003C3E6A"/>
    <w:rsid w:val="003C5440"/>
    <w:rsid w:val="003C578A"/>
    <w:rsid w:val="003C57CF"/>
    <w:rsid w:val="003C6475"/>
    <w:rsid w:val="003D0B72"/>
    <w:rsid w:val="003D1260"/>
    <w:rsid w:val="003D1575"/>
    <w:rsid w:val="003D1DC4"/>
    <w:rsid w:val="003D39FE"/>
    <w:rsid w:val="003D3AA3"/>
    <w:rsid w:val="003D3C94"/>
    <w:rsid w:val="003D4ACD"/>
    <w:rsid w:val="003D519F"/>
    <w:rsid w:val="003D5D48"/>
    <w:rsid w:val="003D78E2"/>
    <w:rsid w:val="003D7FB0"/>
    <w:rsid w:val="003E0256"/>
    <w:rsid w:val="003E0CFD"/>
    <w:rsid w:val="003E1A4C"/>
    <w:rsid w:val="003E2AE4"/>
    <w:rsid w:val="003E3059"/>
    <w:rsid w:val="003E3646"/>
    <w:rsid w:val="003E3DD5"/>
    <w:rsid w:val="003E4C5A"/>
    <w:rsid w:val="003E6616"/>
    <w:rsid w:val="003E6E84"/>
    <w:rsid w:val="003E7558"/>
    <w:rsid w:val="003F06D1"/>
    <w:rsid w:val="003F13FB"/>
    <w:rsid w:val="003F20A7"/>
    <w:rsid w:val="003F2A74"/>
    <w:rsid w:val="003F4607"/>
    <w:rsid w:val="003F46EA"/>
    <w:rsid w:val="003F472F"/>
    <w:rsid w:val="003F4EEE"/>
    <w:rsid w:val="003F5068"/>
    <w:rsid w:val="003F53D8"/>
    <w:rsid w:val="003F598E"/>
    <w:rsid w:val="003F5FAA"/>
    <w:rsid w:val="003F687D"/>
    <w:rsid w:val="003F6B91"/>
    <w:rsid w:val="003F7098"/>
    <w:rsid w:val="003F7750"/>
    <w:rsid w:val="003F7A17"/>
    <w:rsid w:val="00400E39"/>
    <w:rsid w:val="004017B9"/>
    <w:rsid w:val="00401816"/>
    <w:rsid w:val="00401D18"/>
    <w:rsid w:val="0040218C"/>
    <w:rsid w:val="00402352"/>
    <w:rsid w:val="00402BF0"/>
    <w:rsid w:val="00403001"/>
    <w:rsid w:val="004042D7"/>
    <w:rsid w:val="004052E0"/>
    <w:rsid w:val="004061CD"/>
    <w:rsid w:val="0040627C"/>
    <w:rsid w:val="00406323"/>
    <w:rsid w:val="00407371"/>
    <w:rsid w:val="00407514"/>
    <w:rsid w:val="004106C9"/>
    <w:rsid w:val="00410890"/>
    <w:rsid w:val="0041130C"/>
    <w:rsid w:val="00411F58"/>
    <w:rsid w:val="004137A0"/>
    <w:rsid w:val="00414178"/>
    <w:rsid w:val="00415F91"/>
    <w:rsid w:val="00416479"/>
    <w:rsid w:val="00420013"/>
    <w:rsid w:val="0042146A"/>
    <w:rsid w:val="00422B15"/>
    <w:rsid w:val="00423080"/>
    <w:rsid w:val="00423679"/>
    <w:rsid w:val="00423C5F"/>
    <w:rsid w:val="0042424D"/>
    <w:rsid w:val="00425A72"/>
    <w:rsid w:val="00425FC4"/>
    <w:rsid w:val="004268A9"/>
    <w:rsid w:val="00430910"/>
    <w:rsid w:val="004333E9"/>
    <w:rsid w:val="0043489A"/>
    <w:rsid w:val="00434C2D"/>
    <w:rsid w:val="00437279"/>
    <w:rsid w:val="00437905"/>
    <w:rsid w:val="00440DFA"/>
    <w:rsid w:val="00441360"/>
    <w:rsid w:val="00441525"/>
    <w:rsid w:val="00442373"/>
    <w:rsid w:val="0044266A"/>
    <w:rsid w:val="00443914"/>
    <w:rsid w:val="004449D8"/>
    <w:rsid w:val="00444E87"/>
    <w:rsid w:val="00445964"/>
    <w:rsid w:val="00446BD9"/>
    <w:rsid w:val="00446EC9"/>
    <w:rsid w:val="00450647"/>
    <w:rsid w:val="00451704"/>
    <w:rsid w:val="00453F99"/>
    <w:rsid w:val="00454316"/>
    <w:rsid w:val="00455697"/>
    <w:rsid w:val="00455C8C"/>
    <w:rsid w:val="00457189"/>
    <w:rsid w:val="00457DEB"/>
    <w:rsid w:val="00460587"/>
    <w:rsid w:val="00461273"/>
    <w:rsid w:val="004615EF"/>
    <w:rsid w:val="00461CA3"/>
    <w:rsid w:val="00463C06"/>
    <w:rsid w:val="00463E70"/>
    <w:rsid w:val="00464101"/>
    <w:rsid w:val="00465322"/>
    <w:rsid w:val="004656BE"/>
    <w:rsid w:val="00465CF7"/>
    <w:rsid w:val="00465F4F"/>
    <w:rsid w:val="00466C58"/>
    <w:rsid w:val="00467E2E"/>
    <w:rsid w:val="00472F00"/>
    <w:rsid w:val="00473F4E"/>
    <w:rsid w:val="00476565"/>
    <w:rsid w:val="00476B9F"/>
    <w:rsid w:val="004772BD"/>
    <w:rsid w:val="00477339"/>
    <w:rsid w:val="00480269"/>
    <w:rsid w:val="00481B05"/>
    <w:rsid w:val="00481D6F"/>
    <w:rsid w:val="004821A8"/>
    <w:rsid w:val="004826D6"/>
    <w:rsid w:val="00482C24"/>
    <w:rsid w:val="0048330C"/>
    <w:rsid w:val="004838B8"/>
    <w:rsid w:val="00484A5D"/>
    <w:rsid w:val="00484DE8"/>
    <w:rsid w:val="0048514F"/>
    <w:rsid w:val="00485278"/>
    <w:rsid w:val="004856F7"/>
    <w:rsid w:val="00485A46"/>
    <w:rsid w:val="00486877"/>
    <w:rsid w:val="0048747E"/>
    <w:rsid w:val="00490280"/>
    <w:rsid w:val="00491107"/>
    <w:rsid w:val="00491538"/>
    <w:rsid w:val="0049166A"/>
    <w:rsid w:val="00491743"/>
    <w:rsid w:val="00491ABE"/>
    <w:rsid w:val="00491CBE"/>
    <w:rsid w:val="0049235A"/>
    <w:rsid w:val="00496730"/>
    <w:rsid w:val="00497FED"/>
    <w:rsid w:val="004A068C"/>
    <w:rsid w:val="004A17FA"/>
    <w:rsid w:val="004A1C7C"/>
    <w:rsid w:val="004A3DBF"/>
    <w:rsid w:val="004A4D47"/>
    <w:rsid w:val="004A510E"/>
    <w:rsid w:val="004A529F"/>
    <w:rsid w:val="004A5988"/>
    <w:rsid w:val="004B1061"/>
    <w:rsid w:val="004B12B8"/>
    <w:rsid w:val="004B1736"/>
    <w:rsid w:val="004B1D46"/>
    <w:rsid w:val="004B21C3"/>
    <w:rsid w:val="004B3209"/>
    <w:rsid w:val="004B3637"/>
    <w:rsid w:val="004B3AE4"/>
    <w:rsid w:val="004B44B5"/>
    <w:rsid w:val="004B4F4A"/>
    <w:rsid w:val="004B503C"/>
    <w:rsid w:val="004B5B4F"/>
    <w:rsid w:val="004B65BF"/>
    <w:rsid w:val="004C0305"/>
    <w:rsid w:val="004C050A"/>
    <w:rsid w:val="004C0CDD"/>
    <w:rsid w:val="004C1912"/>
    <w:rsid w:val="004C246D"/>
    <w:rsid w:val="004C3492"/>
    <w:rsid w:val="004C4464"/>
    <w:rsid w:val="004C4E37"/>
    <w:rsid w:val="004C4E8A"/>
    <w:rsid w:val="004C539F"/>
    <w:rsid w:val="004C6087"/>
    <w:rsid w:val="004D0046"/>
    <w:rsid w:val="004D0C73"/>
    <w:rsid w:val="004D1BC2"/>
    <w:rsid w:val="004D27BE"/>
    <w:rsid w:val="004D2947"/>
    <w:rsid w:val="004D2E6A"/>
    <w:rsid w:val="004D3379"/>
    <w:rsid w:val="004D5E06"/>
    <w:rsid w:val="004D6A2B"/>
    <w:rsid w:val="004D6BD9"/>
    <w:rsid w:val="004D72B0"/>
    <w:rsid w:val="004D76DF"/>
    <w:rsid w:val="004D7A1F"/>
    <w:rsid w:val="004E0198"/>
    <w:rsid w:val="004E0D89"/>
    <w:rsid w:val="004E1B3F"/>
    <w:rsid w:val="004E273C"/>
    <w:rsid w:val="004E2BC3"/>
    <w:rsid w:val="004E32B2"/>
    <w:rsid w:val="004E4183"/>
    <w:rsid w:val="004E4CA5"/>
    <w:rsid w:val="004F0282"/>
    <w:rsid w:val="004F0738"/>
    <w:rsid w:val="004F0AAD"/>
    <w:rsid w:val="004F149C"/>
    <w:rsid w:val="004F666C"/>
    <w:rsid w:val="004F6B8F"/>
    <w:rsid w:val="004F7431"/>
    <w:rsid w:val="004F7541"/>
    <w:rsid w:val="004F7E16"/>
    <w:rsid w:val="00500EF0"/>
    <w:rsid w:val="005012BF"/>
    <w:rsid w:val="00503850"/>
    <w:rsid w:val="0050552A"/>
    <w:rsid w:val="00506346"/>
    <w:rsid w:val="00506742"/>
    <w:rsid w:val="005068BA"/>
    <w:rsid w:val="00507530"/>
    <w:rsid w:val="00507C38"/>
    <w:rsid w:val="00510B55"/>
    <w:rsid w:val="00512112"/>
    <w:rsid w:val="005163F1"/>
    <w:rsid w:val="005165CE"/>
    <w:rsid w:val="0052034B"/>
    <w:rsid w:val="005205C4"/>
    <w:rsid w:val="00521C71"/>
    <w:rsid w:val="005233F0"/>
    <w:rsid w:val="00523B9A"/>
    <w:rsid w:val="00524C61"/>
    <w:rsid w:val="00525D2C"/>
    <w:rsid w:val="00526567"/>
    <w:rsid w:val="00526633"/>
    <w:rsid w:val="00526BA2"/>
    <w:rsid w:val="0053014E"/>
    <w:rsid w:val="005313F2"/>
    <w:rsid w:val="00531F44"/>
    <w:rsid w:val="00532401"/>
    <w:rsid w:val="00533AB8"/>
    <w:rsid w:val="00534D2B"/>
    <w:rsid w:val="00536412"/>
    <w:rsid w:val="005368FC"/>
    <w:rsid w:val="00536D64"/>
    <w:rsid w:val="0054010E"/>
    <w:rsid w:val="00541597"/>
    <w:rsid w:val="00541691"/>
    <w:rsid w:val="0054372F"/>
    <w:rsid w:val="00543C80"/>
    <w:rsid w:val="0054527F"/>
    <w:rsid w:val="005459B7"/>
    <w:rsid w:val="00545F0A"/>
    <w:rsid w:val="00546839"/>
    <w:rsid w:val="00546CA8"/>
    <w:rsid w:val="00550FC8"/>
    <w:rsid w:val="0055149F"/>
    <w:rsid w:val="00551ECF"/>
    <w:rsid w:val="005522FF"/>
    <w:rsid w:val="00552E16"/>
    <w:rsid w:val="00555CA0"/>
    <w:rsid w:val="00556B9B"/>
    <w:rsid w:val="00557088"/>
    <w:rsid w:val="00560594"/>
    <w:rsid w:val="0056092C"/>
    <w:rsid w:val="00561045"/>
    <w:rsid w:val="00561F52"/>
    <w:rsid w:val="005621D7"/>
    <w:rsid w:val="005632AD"/>
    <w:rsid w:val="00563577"/>
    <w:rsid w:val="00564541"/>
    <w:rsid w:val="005645D2"/>
    <w:rsid w:val="00565145"/>
    <w:rsid w:val="005654D5"/>
    <w:rsid w:val="00565510"/>
    <w:rsid w:val="00566940"/>
    <w:rsid w:val="00567E53"/>
    <w:rsid w:val="005706A7"/>
    <w:rsid w:val="005712DE"/>
    <w:rsid w:val="0057148F"/>
    <w:rsid w:val="00571DC1"/>
    <w:rsid w:val="00571ED4"/>
    <w:rsid w:val="005722ED"/>
    <w:rsid w:val="00572BD4"/>
    <w:rsid w:val="00573B96"/>
    <w:rsid w:val="00573BA7"/>
    <w:rsid w:val="005759B0"/>
    <w:rsid w:val="00575F4C"/>
    <w:rsid w:val="00577971"/>
    <w:rsid w:val="00580245"/>
    <w:rsid w:val="005809F4"/>
    <w:rsid w:val="00580DCC"/>
    <w:rsid w:val="00582488"/>
    <w:rsid w:val="00582894"/>
    <w:rsid w:val="00582DC3"/>
    <w:rsid w:val="00583CBA"/>
    <w:rsid w:val="005842CB"/>
    <w:rsid w:val="00584305"/>
    <w:rsid w:val="0058465B"/>
    <w:rsid w:val="005855DD"/>
    <w:rsid w:val="005861F6"/>
    <w:rsid w:val="005863DA"/>
    <w:rsid w:val="00586623"/>
    <w:rsid w:val="0058682F"/>
    <w:rsid w:val="005869B5"/>
    <w:rsid w:val="00587925"/>
    <w:rsid w:val="0059005F"/>
    <w:rsid w:val="00590EAB"/>
    <w:rsid w:val="005917F3"/>
    <w:rsid w:val="00591B5C"/>
    <w:rsid w:val="005938F5"/>
    <w:rsid w:val="0059407B"/>
    <w:rsid w:val="00594393"/>
    <w:rsid w:val="005964C3"/>
    <w:rsid w:val="00596B6B"/>
    <w:rsid w:val="00597173"/>
    <w:rsid w:val="00597DDC"/>
    <w:rsid w:val="005A18D5"/>
    <w:rsid w:val="005A2E06"/>
    <w:rsid w:val="005A34AE"/>
    <w:rsid w:val="005A4004"/>
    <w:rsid w:val="005A47CF"/>
    <w:rsid w:val="005A59D2"/>
    <w:rsid w:val="005A63D7"/>
    <w:rsid w:val="005A6DD0"/>
    <w:rsid w:val="005A712B"/>
    <w:rsid w:val="005A7500"/>
    <w:rsid w:val="005A7671"/>
    <w:rsid w:val="005A7965"/>
    <w:rsid w:val="005A7CF1"/>
    <w:rsid w:val="005B1716"/>
    <w:rsid w:val="005B18DD"/>
    <w:rsid w:val="005B2394"/>
    <w:rsid w:val="005B2AE7"/>
    <w:rsid w:val="005B30A6"/>
    <w:rsid w:val="005B3471"/>
    <w:rsid w:val="005B3BEC"/>
    <w:rsid w:val="005B4007"/>
    <w:rsid w:val="005B482C"/>
    <w:rsid w:val="005B4B1D"/>
    <w:rsid w:val="005B5830"/>
    <w:rsid w:val="005B7205"/>
    <w:rsid w:val="005B7345"/>
    <w:rsid w:val="005B73FF"/>
    <w:rsid w:val="005B75E7"/>
    <w:rsid w:val="005B77C7"/>
    <w:rsid w:val="005B78AA"/>
    <w:rsid w:val="005C0F1F"/>
    <w:rsid w:val="005C1BAC"/>
    <w:rsid w:val="005C1CF1"/>
    <w:rsid w:val="005C1D82"/>
    <w:rsid w:val="005C2F6D"/>
    <w:rsid w:val="005C60D6"/>
    <w:rsid w:val="005C64B7"/>
    <w:rsid w:val="005C6785"/>
    <w:rsid w:val="005C6E7A"/>
    <w:rsid w:val="005C7719"/>
    <w:rsid w:val="005D09BA"/>
    <w:rsid w:val="005D1481"/>
    <w:rsid w:val="005D1A1B"/>
    <w:rsid w:val="005D1C16"/>
    <w:rsid w:val="005D2928"/>
    <w:rsid w:val="005D32FE"/>
    <w:rsid w:val="005D37D0"/>
    <w:rsid w:val="005D3CA3"/>
    <w:rsid w:val="005D6150"/>
    <w:rsid w:val="005D7205"/>
    <w:rsid w:val="005E0F01"/>
    <w:rsid w:val="005E12E8"/>
    <w:rsid w:val="005E148A"/>
    <w:rsid w:val="005E1CE0"/>
    <w:rsid w:val="005E2DAB"/>
    <w:rsid w:val="005E30B6"/>
    <w:rsid w:val="005E3821"/>
    <w:rsid w:val="005E426A"/>
    <w:rsid w:val="005E5191"/>
    <w:rsid w:val="005E5381"/>
    <w:rsid w:val="005E61C1"/>
    <w:rsid w:val="005E7D8E"/>
    <w:rsid w:val="005F190C"/>
    <w:rsid w:val="005F2DB5"/>
    <w:rsid w:val="005F31A3"/>
    <w:rsid w:val="005F54BA"/>
    <w:rsid w:val="005F5742"/>
    <w:rsid w:val="005F7CD2"/>
    <w:rsid w:val="0060075F"/>
    <w:rsid w:val="00600BC8"/>
    <w:rsid w:val="00600EE5"/>
    <w:rsid w:val="00601927"/>
    <w:rsid w:val="00601AA1"/>
    <w:rsid w:val="00602154"/>
    <w:rsid w:val="00603AFF"/>
    <w:rsid w:val="00603B7E"/>
    <w:rsid w:val="00603C86"/>
    <w:rsid w:val="00607DE7"/>
    <w:rsid w:val="0061032B"/>
    <w:rsid w:val="00610EAF"/>
    <w:rsid w:val="00611640"/>
    <w:rsid w:val="00611D04"/>
    <w:rsid w:val="0061299D"/>
    <w:rsid w:val="00612C96"/>
    <w:rsid w:val="00613465"/>
    <w:rsid w:val="00613A45"/>
    <w:rsid w:val="00613A99"/>
    <w:rsid w:val="00615519"/>
    <w:rsid w:val="00615FFD"/>
    <w:rsid w:val="006166AA"/>
    <w:rsid w:val="00617804"/>
    <w:rsid w:val="006204FF"/>
    <w:rsid w:val="00620DA9"/>
    <w:rsid w:val="006233E4"/>
    <w:rsid w:val="0062366B"/>
    <w:rsid w:val="00624B86"/>
    <w:rsid w:val="00624E15"/>
    <w:rsid w:val="00624EAD"/>
    <w:rsid w:val="00625BF1"/>
    <w:rsid w:val="0062690B"/>
    <w:rsid w:val="00627E6F"/>
    <w:rsid w:val="00630FB0"/>
    <w:rsid w:val="0063117B"/>
    <w:rsid w:val="006319BD"/>
    <w:rsid w:val="00633AB1"/>
    <w:rsid w:val="00634437"/>
    <w:rsid w:val="00635EE3"/>
    <w:rsid w:val="00637B43"/>
    <w:rsid w:val="0064118B"/>
    <w:rsid w:val="006412D7"/>
    <w:rsid w:val="006419F6"/>
    <w:rsid w:val="00650168"/>
    <w:rsid w:val="006523E6"/>
    <w:rsid w:val="006526D2"/>
    <w:rsid w:val="00652E54"/>
    <w:rsid w:val="0065310C"/>
    <w:rsid w:val="006532CC"/>
    <w:rsid w:val="00653727"/>
    <w:rsid w:val="006538C4"/>
    <w:rsid w:val="00653BC8"/>
    <w:rsid w:val="00654147"/>
    <w:rsid w:val="00654FE2"/>
    <w:rsid w:val="006553D2"/>
    <w:rsid w:val="00656608"/>
    <w:rsid w:val="00656E39"/>
    <w:rsid w:val="00657DB0"/>
    <w:rsid w:val="00660D97"/>
    <w:rsid w:val="00660E90"/>
    <w:rsid w:val="00661649"/>
    <w:rsid w:val="00661AA3"/>
    <w:rsid w:val="00661BFA"/>
    <w:rsid w:val="006647CA"/>
    <w:rsid w:val="00664BD4"/>
    <w:rsid w:val="00665488"/>
    <w:rsid w:val="00666075"/>
    <w:rsid w:val="00666220"/>
    <w:rsid w:val="00666DA1"/>
    <w:rsid w:val="00666E82"/>
    <w:rsid w:val="006727D4"/>
    <w:rsid w:val="00672862"/>
    <w:rsid w:val="00673E2A"/>
    <w:rsid w:val="00674446"/>
    <w:rsid w:val="006746F5"/>
    <w:rsid w:val="00675D67"/>
    <w:rsid w:val="006760AF"/>
    <w:rsid w:val="006762E8"/>
    <w:rsid w:val="00676A9B"/>
    <w:rsid w:val="0068034A"/>
    <w:rsid w:val="00680693"/>
    <w:rsid w:val="006808D9"/>
    <w:rsid w:val="00684695"/>
    <w:rsid w:val="0068511B"/>
    <w:rsid w:val="0068569A"/>
    <w:rsid w:val="006859EE"/>
    <w:rsid w:val="006860B9"/>
    <w:rsid w:val="00686B85"/>
    <w:rsid w:val="00686F51"/>
    <w:rsid w:val="006873B1"/>
    <w:rsid w:val="0069098A"/>
    <w:rsid w:val="0069098C"/>
    <w:rsid w:val="00691213"/>
    <w:rsid w:val="00691222"/>
    <w:rsid w:val="00691965"/>
    <w:rsid w:val="00692B7C"/>
    <w:rsid w:val="00693849"/>
    <w:rsid w:val="006939E7"/>
    <w:rsid w:val="006942D3"/>
    <w:rsid w:val="0069460E"/>
    <w:rsid w:val="0069472E"/>
    <w:rsid w:val="00695334"/>
    <w:rsid w:val="00695712"/>
    <w:rsid w:val="00695791"/>
    <w:rsid w:val="00695DE2"/>
    <w:rsid w:val="00695FDF"/>
    <w:rsid w:val="006962E3"/>
    <w:rsid w:val="006969F0"/>
    <w:rsid w:val="006971A6"/>
    <w:rsid w:val="0069767A"/>
    <w:rsid w:val="006A0A7A"/>
    <w:rsid w:val="006A2450"/>
    <w:rsid w:val="006A34F1"/>
    <w:rsid w:val="006A367E"/>
    <w:rsid w:val="006A5CC9"/>
    <w:rsid w:val="006B010D"/>
    <w:rsid w:val="006B02FE"/>
    <w:rsid w:val="006B1A8C"/>
    <w:rsid w:val="006B1C07"/>
    <w:rsid w:val="006B23A4"/>
    <w:rsid w:val="006B2C5A"/>
    <w:rsid w:val="006B2D18"/>
    <w:rsid w:val="006B365C"/>
    <w:rsid w:val="006B3F26"/>
    <w:rsid w:val="006B4AEC"/>
    <w:rsid w:val="006B582F"/>
    <w:rsid w:val="006B7704"/>
    <w:rsid w:val="006B776D"/>
    <w:rsid w:val="006C0406"/>
    <w:rsid w:val="006C0CC4"/>
    <w:rsid w:val="006C0FB6"/>
    <w:rsid w:val="006C0FE4"/>
    <w:rsid w:val="006C194E"/>
    <w:rsid w:val="006C20DB"/>
    <w:rsid w:val="006C2377"/>
    <w:rsid w:val="006C634E"/>
    <w:rsid w:val="006C6606"/>
    <w:rsid w:val="006C79B2"/>
    <w:rsid w:val="006C7A57"/>
    <w:rsid w:val="006D1B70"/>
    <w:rsid w:val="006D235B"/>
    <w:rsid w:val="006D2A8C"/>
    <w:rsid w:val="006D31D2"/>
    <w:rsid w:val="006D3F54"/>
    <w:rsid w:val="006D3FEA"/>
    <w:rsid w:val="006D434E"/>
    <w:rsid w:val="006D4EF8"/>
    <w:rsid w:val="006D5167"/>
    <w:rsid w:val="006D71ED"/>
    <w:rsid w:val="006E19D5"/>
    <w:rsid w:val="006E1B14"/>
    <w:rsid w:val="006E27A6"/>
    <w:rsid w:val="006E3A42"/>
    <w:rsid w:val="006E4108"/>
    <w:rsid w:val="006E4ABB"/>
    <w:rsid w:val="006E6C99"/>
    <w:rsid w:val="006E6FF0"/>
    <w:rsid w:val="006E727A"/>
    <w:rsid w:val="006F1C71"/>
    <w:rsid w:val="006F42CF"/>
    <w:rsid w:val="006F4BAD"/>
    <w:rsid w:val="006F59D8"/>
    <w:rsid w:val="006F6CB6"/>
    <w:rsid w:val="006F7AA6"/>
    <w:rsid w:val="006F7B18"/>
    <w:rsid w:val="006F7C8B"/>
    <w:rsid w:val="006F7CBB"/>
    <w:rsid w:val="007006B0"/>
    <w:rsid w:val="00701876"/>
    <w:rsid w:val="007026E4"/>
    <w:rsid w:val="00704A2F"/>
    <w:rsid w:val="00704A4E"/>
    <w:rsid w:val="007052A1"/>
    <w:rsid w:val="00705621"/>
    <w:rsid w:val="00706223"/>
    <w:rsid w:val="00706CAA"/>
    <w:rsid w:val="00706FB4"/>
    <w:rsid w:val="00710AA6"/>
    <w:rsid w:val="00711737"/>
    <w:rsid w:val="0071296C"/>
    <w:rsid w:val="00712991"/>
    <w:rsid w:val="00713099"/>
    <w:rsid w:val="00715263"/>
    <w:rsid w:val="00715315"/>
    <w:rsid w:val="00715959"/>
    <w:rsid w:val="00715BA6"/>
    <w:rsid w:val="0071649C"/>
    <w:rsid w:val="00716594"/>
    <w:rsid w:val="00716599"/>
    <w:rsid w:val="00717289"/>
    <w:rsid w:val="007175D3"/>
    <w:rsid w:val="00717AE7"/>
    <w:rsid w:val="007211D7"/>
    <w:rsid w:val="00721568"/>
    <w:rsid w:val="00721938"/>
    <w:rsid w:val="00722143"/>
    <w:rsid w:val="007224D6"/>
    <w:rsid w:val="007226CA"/>
    <w:rsid w:val="007229BF"/>
    <w:rsid w:val="00723000"/>
    <w:rsid w:val="0072347B"/>
    <w:rsid w:val="00724DA2"/>
    <w:rsid w:val="00725C3F"/>
    <w:rsid w:val="00725ED1"/>
    <w:rsid w:val="00726647"/>
    <w:rsid w:val="007268D0"/>
    <w:rsid w:val="00727109"/>
    <w:rsid w:val="0073006A"/>
    <w:rsid w:val="007304B9"/>
    <w:rsid w:val="00731A74"/>
    <w:rsid w:val="00732260"/>
    <w:rsid w:val="00732CC6"/>
    <w:rsid w:val="0073430E"/>
    <w:rsid w:val="007347AD"/>
    <w:rsid w:val="0073525D"/>
    <w:rsid w:val="00735770"/>
    <w:rsid w:val="00736D03"/>
    <w:rsid w:val="007371AC"/>
    <w:rsid w:val="00740159"/>
    <w:rsid w:val="00740663"/>
    <w:rsid w:val="00741814"/>
    <w:rsid w:val="0074299D"/>
    <w:rsid w:val="00745463"/>
    <w:rsid w:val="007462FC"/>
    <w:rsid w:val="007468C2"/>
    <w:rsid w:val="00747F63"/>
    <w:rsid w:val="007504D3"/>
    <w:rsid w:val="007544B4"/>
    <w:rsid w:val="007551D3"/>
    <w:rsid w:val="00755E88"/>
    <w:rsid w:val="00755F22"/>
    <w:rsid w:val="00757024"/>
    <w:rsid w:val="007602D1"/>
    <w:rsid w:val="00760B1F"/>
    <w:rsid w:val="00760B39"/>
    <w:rsid w:val="00760E68"/>
    <w:rsid w:val="00760F2A"/>
    <w:rsid w:val="00762811"/>
    <w:rsid w:val="00763DB5"/>
    <w:rsid w:val="0076602F"/>
    <w:rsid w:val="00766628"/>
    <w:rsid w:val="00767C4A"/>
    <w:rsid w:val="0077054B"/>
    <w:rsid w:val="0077133A"/>
    <w:rsid w:val="00772317"/>
    <w:rsid w:val="00772762"/>
    <w:rsid w:val="00772FA6"/>
    <w:rsid w:val="0077324F"/>
    <w:rsid w:val="007756D2"/>
    <w:rsid w:val="0077572A"/>
    <w:rsid w:val="00775AB4"/>
    <w:rsid w:val="0077650D"/>
    <w:rsid w:val="00776D54"/>
    <w:rsid w:val="007776BA"/>
    <w:rsid w:val="00777E46"/>
    <w:rsid w:val="00780B4F"/>
    <w:rsid w:val="00781123"/>
    <w:rsid w:val="00783198"/>
    <w:rsid w:val="007833E1"/>
    <w:rsid w:val="00783EAE"/>
    <w:rsid w:val="007850F3"/>
    <w:rsid w:val="00785514"/>
    <w:rsid w:val="00785FFD"/>
    <w:rsid w:val="007860C3"/>
    <w:rsid w:val="007861F8"/>
    <w:rsid w:val="007863B6"/>
    <w:rsid w:val="0078674F"/>
    <w:rsid w:val="00786B8A"/>
    <w:rsid w:val="00786E33"/>
    <w:rsid w:val="00786FA9"/>
    <w:rsid w:val="0078774C"/>
    <w:rsid w:val="00787778"/>
    <w:rsid w:val="007900D0"/>
    <w:rsid w:val="00790A8D"/>
    <w:rsid w:val="00791348"/>
    <w:rsid w:val="0079289D"/>
    <w:rsid w:val="00792E7E"/>
    <w:rsid w:val="00793051"/>
    <w:rsid w:val="007939EF"/>
    <w:rsid w:val="00793B78"/>
    <w:rsid w:val="00793EBC"/>
    <w:rsid w:val="00794904"/>
    <w:rsid w:val="007953E5"/>
    <w:rsid w:val="00795FA5"/>
    <w:rsid w:val="00796EEF"/>
    <w:rsid w:val="00797A41"/>
    <w:rsid w:val="00797D6F"/>
    <w:rsid w:val="007A0AE1"/>
    <w:rsid w:val="007A0BA1"/>
    <w:rsid w:val="007A116A"/>
    <w:rsid w:val="007A1416"/>
    <w:rsid w:val="007A1C21"/>
    <w:rsid w:val="007A366F"/>
    <w:rsid w:val="007A3962"/>
    <w:rsid w:val="007A399D"/>
    <w:rsid w:val="007A45D4"/>
    <w:rsid w:val="007A477D"/>
    <w:rsid w:val="007A4E3F"/>
    <w:rsid w:val="007A78D1"/>
    <w:rsid w:val="007A79DC"/>
    <w:rsid w:val="007B1257"/>
    <w:rsid w:val="007B1AE9"/>
    <w:rsid w:val="007B3131"/>
    <w:rsid w:val="007B3585"/>
    <w:rsid w:val="007B4B64"/>
    <w:rsid w:val="007B579C"/>
    <w:rsid w:val="007B6258"/>
    <w:rsid w:val="007B6A3E"/>
    <w:rsid w:val="007C016C"/>
    <w:rsid w:val="007C0649"/>
    <w:rsid w:val="007C25C1"/>
    <w:rsid w:val="007C3E51"/>
    <w:rsid w:val="007C4E71"/>
    <w:rsid w:val="007C5C5A"/>
    <w:rsid w:val="007C6BEC"/>
    <w:rsid w:val="007C6DF8"/>
    <w:rsid w:val="007D1191"/>
    <w:rsid w:val="007D2077"/>
    <w:rsid w:val="007D249B"/>
    <w:rsid w:val="007D2B94"/>
    <w:rsid w:val="007D7BC1"/>
    <w:rsid w:val="007E0C66"/>
    <w:rsid w:val="007E12A7"/>
    <w:rsid w:val="007E246B"/>
    <w:rsid w:val="007E2E9A"/>
    <w:rsid w:val="007E340E"/>
    <w:rsid w:val="007E3557"/>
    <w:rsid w:val="007E3569"/>
    <w:rsid w:val="007E43E8"/>
    <w:rsid w:val="007E49D9"/>
    <w:rsid w:val="007E630E"/>
    <w:rsid w:val="007E6F01"/>
    <w:rsid w:val="007E702C"/>
    <w:rsid w:val="007F1647"/>
    <w:rsid w:val="007F17A3"/>
    <w:rsid w:val="007F2E9F"/>
    <w:rsid w:val="007F2EF6"/>
    <w:rsid w:val="007F3AC6"/>
    <w:rsid w:val="007F3D63"/>
    <w:rsid w:val="007F493C"/>
    <w:rsid w:val="007F5D33"/>
    <w:rsid w:val="007F73B1"/>
    <w:rsid w:val="007F7BAB"/>
    <w:rsid w:val="00801283"/>
    <w:rsid w:val="00801465"/>
    <w:rsid w:val="00801B1E"/>
    <w:rsid w:val="0080284A"/>
    <w:rsid w:val="008047B2"/>
    <w:rsid w:val="00805576"/>
    <w:rsid w:val="008058E7"/>
    <w:rsid w:val="00806FD4"/>
    <w:rsid w:val="00810247"/>
    <w:rsid w:val="00811EA3"/>
    <w:rsid w:val="0081254A"/>
    <w:rsid w:val="00813080"/>
    <w:rsid w:val="00814713"/>
    <w:rsid w:val="0081679F"/>
    <w:rsid w:val="008202C2"/>
    <w:rsid w:val="0082051B"/>
    <w:rsid w:val="0082096E"/>
    <w:rsid w:val="008215E9"/>
    <w:rsid w:val="008223C8"/>
    <w:rsid w:val="0082660E"/>
    <w:rsid w:val="00827B7A"/>
    <w:rsid w:val="008302DE"/>
    <w:rsid w:val="008307BC"/>
    <w:rsid w:val="0083082C"/>
    <w:rsid w:val="008313CD"/>
    <w:rsid w:val="008317CA"/>
    <w:rsid w:val="00831E01"/>
    <w:rsid w:val="00832027"/>
    <w:rsid w:val="0083261A"/>
    <w:rsid w:val="00832D4E"/>
    <w:rsid w:val="00833526"/>
    <w:rsid w:val="0083418C"/>
    <w:rsid w:val="0083549B"/>
    <w:rsid w:val="0083602F"/>
    <w:rsid w:val="00836111"/>
    <w:rsid w:val="00836903"/>
    <w:rsid w:val="00837824"/>
    <w:rsid w:val="00837B51"/>
    <w:rsid w:val="00841A56"/>
    <w:rsid w:val="008445E5"/>
    <w:rsid w:val="00844878"/>
    <w:rsid w:val="008462F7"/>
    <w:rsid w:val="00846866"/>
    <w:rsid w:val="008477FD"/>
    <w:rsid w:val="00850403"/>
    <w:rsid w:val="00850B26"/>
    <w:rsid w:val="00850DDD"/>
    <w:rsid w:val="00851860"/>
    <w:rsid w:val="00851EB1"/>
    <w:rsid w:val="00851F5A"/>
    <w:rsid w:val="0085229A"/>
    <w:rsid w:val="00852E14"/>
    <w:rsid w:val="00852E96"/>
    <w:rsid w:val="00853459"/>
    <w:rsid w:val="008542C1"/>
    <w:rsid w:val="00854AD0"/>
    <w:rsid w:val="0085583A"/>
    <w:rsid w:val="008561D9"/>
    <w:rsid w:val="008568FF"/>
    <w:rsid w:val="00856E33"/>
    <w:rsid w:val="00857089"/>
    <w:rsid w:val="008575A9"/>
    <w:rsid w:val="00860483"/>
    <w:rsid w:val="00861428"/>
    <w:rsid w:val="008618D5"/>
    <w:rsid w:val="00861B04"/>
    <w:rsid w:val="00863304"/>
    <w:rsid w:val="00863C15"/>
    <w:rsid w:val="0086490C"/>
    <w:rsid w:val="00864B50"/>
    <w:rsid w:val="00864C6A"/>
    <w:rsid w:val="0086790D"/>
    <w:rsid w:val="00867F3B"/>
    <w:rsid w:val="00870155"/>
    <w:rsid w:val="00870672"/>
    <w:rsid w:val="0087068A"/>
    <w:rsid w:val="00870936"/>
    <w:rsid w:val="00872264"/>
    <w:rsid w:val="00872C74"/>
    <w:rsid w:val="00872E49"/>
    <w:rsid w:val="0087350F"/>
    <w:rsid w:val="00873F7A"/>
    <w:rsid w:val="008740AD"/>
    <w:rsid w:val="0087535A"/>
    <w:rsid w:val="0087565C"/>
    <w:rsid w:val="0087589A"/>
    <w:rsid w:val="008767A2"/>
    <w:rsid w:val="008769E1"/>
    <w:rsid w:val="008777B3"/>
    <w:rsid w:val="008809C7"/>
    <w:rsid w:val="00880DBD"/>
    <w:rsid w:val="00881278"/>
    <w:rsid w:val="00881C78"/>
    <w:rsid w:val="008825C9"/>
    <w:rsid w:val="00882F79"/>
    <w:rsid w:val="00883E06"/>
    <w:rsid w:val="00883FB3"/>
    <w:rsid w:val="008840E4"/>
    <w:rsid w:val="00884AF8"/>
    <w:rsid w:val="00885F3F"/>
    <w:rsid w:val="008865E8"/>
    <w:rsid w:val="00887BB9"/>
    <w:rsid w:val="008915D2"/>
    <w:rsid w:val="00891BB4"/>
    <w:rsid w:val="0089300B"/>
    <w:rsid w:val="00893DE2"/>
    <w:rsid w:val="00894587"/>
    <w:rsid w:val="00895266"/>
    <w:rsid w:val="0089608C"/>
    <w:rsid w:val="00897225"/>
    <w:rsid w:val="00897BD6"/>
    <w:rsid w:val="008A0264"/>
    <w:rsid w:val="008A0291"/>
    <w:rsid w:val="008A09A6"/>
    <w:rsid w:val="008A1491"/>
    <w:rsid w:val="008A1499"/>
    <w:rsid w:val="008A1B36"/>
    <w:rsid w:val="008A23ED"/>
    <w:rsid w:val="008A2AB9"/>
    <w:rsid w:val="008A3A03"/>
    <w:rsid w:val="008A3E7C"/>
    <w:rsid w:val="008A453C"/>
    <w:rsid w:val="008A46CF"/>
    <w:rsid w:val="008A4D7A"/>
    <w:rsid w:val="008A4DF0"/>
    <w:rsid w:val="008A5915"/>
    <w:rsid w:val="008A7201"/>
    <w:rsid w:val="008B3941"/>
    <w:rsid w:val="008B3D76"/>
    <w:rsid w:val="008B4365"/>
    <w:rsid w:val="008B660A"/>
    <w:rsid w:val="008B6B2B"/>
    <w:rsid w:val="008B7149"/>
    <w:rsid w:val="008C0507"/>
    <w:rsid w:val="008C077B"/>
    <w:rsid w:val="008C0B02"/>
    <w:rsid w:val="008C0C4F"/>
    <w:rsid w:val="008C1614"/>
    <w:rsid w:val="008C1983"/>
    <w:rsid w:val="008C1B5E"/>
    <w:rsid w:val="008C1FDC"/>
    <w:rsid w:val="008C2DFA"/>
    <w:rsid w:val="008C37EF"/>
    <w:rsid w:val="008C40D5"/>
    <w:rsid w:val="008C4251"/>
    <w:rsid w:val="008C44A8"/>
    <w:rsid w:val="008C4520"/>
    <w:rsid w:val="008C48F0"/>
    <w:rsid w:val="008C5643"/>
    <w:rsid w:val="008C57CF"/>
    <w:rsid w:val="008C6A6D"/>
    <w:rsid w:val="008C75A5"/>
    <w:rsid w:val="008C7D7D"/>
    <w:rsid w:val="008D230F"/>
    <w:rsid w:val="008D497A"/>
    <w:rsid w:val="008D4B9A"/>
    <w:rsid w:val="008D51E0"/>
    <w:rsid w:val="008D5A20"/>
    <w:rsid w:val="008D5C8B"/>
    <w:rsid w:val="008D734C"/>
    <w:rsid w:val="008D73E9"/>
    <w:rsid w:val="008D777F"/>
    <w:rsid w:val="008E2037"/>
    <w:rsid w:val="008E337B"/>
    <w:rsid w:val="008E3955"/>
    <w:rsid w:val="008E3F02"/>
    <w:rsid w:val="008E43E3"/>
    <w:rsid w:val="008E5600"/>
    <w:rsid w:val="008E5DB2"/>
    <w:rsid w:val="008E5F0C"/>
    <w:rsid w:val="008E6794"/>
    <w:rsid w:val="008F1D7F"/>
    <w:rsid w:val="008F1F60"/>
    <w:rsid w:val="008F2DD5"/>
    <w:rsid w:val="008F3326"/>
    <w:rsid w:val="008F4282"/>
    <w:rsid w:val="008F4E4E"/>
    <w:rsid w:val="008F5518"/>
    <w:rsid w:val="008F5D14"/>
    <w:rsid w:val="008F6217"/>
    <w:rsid w:val="008F62C3"/>
    <w:rsid w:val="008F7966"/>
    <w:rsid w:val="009004C6"/>
    <w:rsid w:val="00902638"/>
    <w:rsid w:val="009047AE"/>
    <w:rsid w:val="00905D4B"/>
    <w:rsid w:val="00906043"/>
    <w:rsid w:val="00906D2F"/>
    <w:rsid w:val="009117FF"/>
    <w:rsid w:val="009134B8"/>
    <w:rsid w:val="00913EFA"/>
    <w:rsid w:val="00914585"/>
    <w:rsid w:val="009157F9"/>
    <w:rsid w:val="00915A83"/>
    <w:rsid w:val="009163FA"/>
    <w:rsid w:val="0091678D"/>
    <w:rsid w:val="00916D57"/>
    <w:rsid w:val="009172FB"/>
    <w:rsid w:val="009203D9"/>
    <w:rsid w:val="009204B3"/>
    <w:rsid w:val="0092072C"/>
    <w:rsid w:val="009226B7"/>
    <w:rsid w:val="00922C28"/>
    <w:rsid w:val="00923D6B"/>
    <w:rsid w:val="00923E7A"/>
    <w:rsid w:val="00925E2F"/>
    <w:rsid w:val="00931704"/>
    <w:rsid w:val="00932293"/>
    <w:rsid w:val="00932D68"/>
    <w:rsid w:val="00932E57"/>
    <w:rsid w:val="009336BA"/>
    <w:rsid w:val="00934E67"/>
    <w:rsid w:val="009354DF"/>
    <w:rsid w:val="00936126"/>
    <w:rsid w:val="00940D46"/>
    <w:rsid w:val="009414C5"/>
    <w:rsid w:val="0094179F"/>
    <w:rsid w:val="00941A4C"/>
    <w:rsid w:val="00942AD6"/>
    <w:rsid w:val="00942B38"/>
    <w:rsid w:val="009441D2"/>
    <w:rsid w:val="00944C86"/>
    <w:rsid w:val="00944CF9"/>
    <w:rsid w:val="00944F11"/>
    <w:rsid w:val="0094571C"/>
    <w:rsid w:val="009458CE"/>
    <w:rsid w:val="0095071D"/>
    <w:rsid w:val="009513A5"/>
    <w:rsid w:val="009519BE"/>
    <w:rsid w:val="00952AE2"/>
    <w:rsid w:val="00953097"/>
    <w:rsid w:val="00953275"/>
    <w:rsid w:val="00953A23"/>
    <w:rsid w:val="00953AAF"/>
    <w:rsid w:val="009542E7"/>
    <w:rsid w:val="00954BB1"/>
    <w:rsid w:val="00955686"/>
    <w:rsid w:val="0095576A"/>
    <w:rsid w:val="00955E6A"/>
    <w:rsid w:val="00957CA8"/>
    <w:rsid w:val="00960A50"/>
    <w:rsid w:val="00961D81"/>
    <w:rsid w:val="00963021"/>
    <w:rsid w:val="00963218"/>
    <w:rsid w:val="009633FB"/>
    <w:rsid w:val="00963715"/>
    <w:rsid w:val="009649B2"/>
    <w:rsid w:val="00964E86"/>
    <w:rsid w:val="009655B9"/>
    <w:rsid w:val="009676F8"/>
    <w:rsid w:val="0097096B"/>
    <w:rsid w:val="00970BEE"/>
    <w:rsid w:val="00971416"/>
    <w:rsid w:val="009723C3"/>
    <w:rsid w:val="00972879"/>
    <w:rsid w:val="00972974"/>
    <w:rsid w:val="00972BF2"/>
    <w:rsid w:val="009739B7"/>
    <w:rsid w:val="009739FC"/>
    <w:rsid w:val="00973E6C"/>
    <w:rsid w:val="009754C6"/>
    <w:rsid w:val="009757C2"/>
    <w:rsid w:val="00976407"/>
    <w:rsid w:val="00976736"/>
    <w:rsid w:val="009771DE"/>
    <w:rsid w:val="00977480"/>
    <w:rsid w:val="009777D9"/>
    <w:rsid w:val="009803C1"/>
    <w:rsid w:val="009804FE"/>
    <w:rsid w:val="009816DF"/>
    <w:rsid w:val="00981B14"/>
    <w:rsid w:val="0098214B"/>
    <w:rsid w:val="00982530"/>
    <w:rsid w:val="00985483"/>
    <w:rsid w:val="00985C9A"/>
    <w:rsid w:val="00986537"/>
    <w:rsid w:val="00990E55"/>
    <w:rsid w:val="0099144B"/>
    <w:rsid w:val="009921E1"/>
    <w:rsid w:val="0099478B"/>
    <w:rsid w:val="00995F79"/>
    <w:rsid w:val="00997361"/>
    <w:rsid w:val="00997B4E"/>
    <w:rsid w:val="009A26BF"/>
    <w:rsid w:val="009A34C9"/>
    <w:rsid w:val="009A3887"/>
    <w:rsid w:val="009A3E91"/>
    <w:rsid w:val="009A460D"/>
    <w:rsid w:val="009A4D5F"/>
    <w:rsid w:val="009A4F32"/>
    <w:rsid w:val="009A5705"/>
    <w:rsid w:val="009A5B9C"/>
    <w:rsid w:val="009A685C"/>
    <w:rsid w:val="009A728C"/>
    <w:rsid w:val="009A78BE"/>
    <w:rsid w:val="009B02D0"/>
    <w:rsid w:val="009B090D"/>
    <w:rsid w:val="009B18E0"/>
    <w:rsid w:val="009B1DC1"/>
    <w:rsid w:val="009B2417"/>
    <w:rsid w:val="009B35B2"/>
    <w:rsid w:val="009B384F"/>
    <w:rsid w:val="009B3A06"/>
    <w:rsid w:val="009B3D7A"/>
    <w:rsid w:val="009B5FCA"/>
    <w:rsid w:val="009B633F"/>
    <w:rsid w:val="009B6E2F"/>
    <w:rsid w:val="009B719B"/>
    <w:rsid w:val="009C01B5"/>
    <w:rsid w:val="009C07AB"/>
    <w:rsid w:val="009C1A95"/>
    <w:rsid w:val="009C34EF"/>
    <w:rsid w:val="009C3D8B"/>
    <w:rsid w:val="009C3EBF"/>
    <w:rsid w:val="009C4EBD"/>
    <w:rsid w:val="009C54F8"/>
    <w:rsid w:val="009C5A20"/>
    <w:rsid w:val="009C62B5"/>
    <w:rsid w:val="009C62C7"/>
    <w:rsid w:val="009C64DC"/>
    <w:rsid w:val="009C6AFE"/>
    <w:rsid w:val="009D0095"/>
    <w:rsid w:val="009D1791"/>
    <w:rsid w:val="009D1B3D"/>
    <w:rsid w:val="009D1E70"/>
    <w:rsid w:val="009D27D5"/>
    <w:rsid w:val="009D3421"/>
    <w:rsid w:val="009D45AE"/>
    <w:rsid w:val="009D500A"/>
    <w:rsid w:val="009D609F"/>
    <w:rsid w:val="009D644F"/>
    <w:rsid w:val="009D7087"/>
    <w:rsid w:val="009E002D"/>
    <w:rsid w:val="009E0E90"/>
    <w:rsid w:val="009E11BE"/>
    <w:rsid w:val="009E152A"/>
    <w:rsid w:val="009E2B4B"/>
    <w:rsid w:val="009E48A7"/>
    <w:rsid w:val="009E587C"/>
    <w:rsid w:val="009E5B00"/>
    <w:rsid w:val="009E7F83"/>
    <w:rsid w:val="009F0287"/>
    <w:rsid w:val="009F0D23"/>
    <w:rsid w:val="009F1B7D"/>
    <w:rsid w:val="009F3092"/>
    <w:rsid w:val="009F4116"/>
    <w:rsid w:val="009F430B"/>
    <w:rsid w:val="009F5601"/>
    <w:rsid w:val="009F61D4"/>
    <w:rsid w:val="00A00AB5"/>
    <w:rsid w:val="00A04AC7"/>
    <w:rsid w:val="00A0564F"/>
    <w:rsid w:val="00A100A8"/>
    <w:rsid w:val="00A12DB2"/>
    <w:rsid w:val="00A141C5"/>
    <w:rsid w:val="00A14879"/>
    <w:rsid w:val="00A15EA6"/>
    <w:rsid w:val="00A2418B"/>
    <w:rsid w:val="00A242BE"/>
    <w:rsid w:val="00A242E4"/>
    <w:rsid w:val="00A24BA6"/>
    <w:rsid w:val="00A24D7A"/>
    <w:rsid w:val="00A25267"/>
    <w:rsid w:val="00A252BB"/>
    <w:rsid w:val="00A26FB6"/>
    <w:rsid w:val="00A271EB"/>
    <w:rsid w:val="00A27BD7"/>
    <w:rsid w:val="00A27C4A"/>
    <w:rsid w:val="00A30159"/>
    <w:rsid w:val="00A3178F"/>
    <w:rsid w:val="00A33A15"/>
    <w:rsid w:val="00A34CAE"/>
    <w:rsid w:val="00A363AB"/>
    <w:rsid w:val="00A365A8"/>
    <w:rsid w:val="00A36C88"/>
    <w:rsid w:val="00A3701A"/>
    <w:rsid w:val="00A371F2"/>
    <w:rsid w:val="00A37D2A"/>
    <w:rsid w:val="00A40E49"/>
    <w:rsid w:val="00A41A25"/>
    <w:rsid w:val="00A4220E"/>
    <w:rsid w:val="00A4250B"/>
    <w:rsid w:val="00A44A0D"/>
    <w:rsid w:val="00A45421"/>
    <w:rsid w:val="00A4562D"/>
    <w:rsid w:val="00A469B6"/>
    <w:rsid w:val="00A46F00"/>
    <w:rsid w:val="00A46FAF"/>
    <w:rsid w:val="00A50C25"/>
    <w:rsid w:val="00A50FF3"/>
    <w:rsid w:val="00A53923"/>
    <w:rsid w:val="00A53B3A"/>
    <w:rsid w:val="00A53C98"/>
    <w:rsid w:val="00A54BBB"/>
    <w:rsid w:val="00A55ACF"/>
    <w:rsid w:val="00A55D57"/>
    <w:rsid w:val="00A56737"/>
    <w:rsid w:val="00A56FBE"/>
    <w:rsid w:val="00A606C2"/>
    <w:rsid w:val="00A60775"/>
    <w:rsid w:val="00A608F2"/>
    <w:rsid w:val="00A60F2C"/>
    <w:rsid w:val="00A61773"/>
    <w:rsid w:val="00A61B0A"/>
    <w:rsid w:val="00A61E86"/>
    <w:rsid w:val="00A6212A"/>
    <w:rsid w:val="00A62D13"/>
    <w:rsid w:val="00A62E42"/>
    <w:rsid w:val="00A63672"/>
    <w:rsid w:val="00A644A6"/>
    <w:rsid w:val="00A64C90"/>
    <w:rsid w:val="00A64E93"/>
    <w:rsid w:val="00A65C64"/>
    <w:rsid w:val="00A71686"/>
    <w:rsid w:val="00A72F65"/>
    <w:rsid w:val="00A73A2A"/>
    <w:rsid w:val="00A749F9"/>
    <w:rsid w:val="00A74E74"/>
    <w:rsid w:val="00A757FE"/>
    <w:rsid w:val="00A75BB7"/>
    <w:rsid w:val="00A7629D"/>
    <w:rsid w:val="00A77FAA"/>
    <w:rsid w:val="00A808C2"/>
    <w:rsid w:val="00A81364"/>
    <w:rsid w:val="00A8275A"/>
    <w:rsid w:val="00A83975"/>
    <w:rsid w:val="00A84082"/>
    <w:rsid w:val="00A84BBB"/>
    <w:rsid w:val="00A85598"/>
    <w:rsid w:val="00A861F5"/>
    <w:rsid w:val="00A90047"/>
    <w:rsid w:val="00A92A8F"/>
    <w:rsid w:val="00A931CD"/>
    <w:rsid w:val="00A9374F"/>
    <w:rsid w:val="00A958AF"/>
    <w:rsid w:val="00A95A81"/>
    <w:rsid w:val="00A96343"/>
    <w:rsid w:val="00A96BE9"/>
    <w:rsid w:val="00A96E3D"/>
    <w:rsid w:val="00A9751F"/>
    <w:rsid w:val="00A976D4"/>
    <w:rsid w:val="00A97D56"/>
    <w:rsid w:val="00AA03D5"/>
    <w:rsid w:val="00AA0B0A"/>
    <w:rsid w:val="00AA1522"/>
    <w:rsid w:val="00AA180B"/>
    <w:rsid w:val="00AA18E6"/>
    <w:rsid w:val="00AA1B1A"/>
    <w:rsid w:val="00AA1F9F"/>
    <w:rsid w:val="00AA251D"/>
    <w:rsid w:val="00AA30ED"/>
    <w:rsid w:val="00AA313D"/>
    <w:rsid w:val="00AA4336"/>
    <w:rsid w:val="00AA4C06"/>
    <w:rsid w:val="00AA5201"/>
    <w:rsid w:val="00AA5525"/>
    <w:rsid w:val="00AA6BC4"/>
    <w:rsid w:val="00AB04AE"/>
    <w:rsid w:val="00AB086E"/>
    <w:rsid w:val="00AB199F"/>
    <w:rsid w:val="00AB1A7E"/>
    <w:rsid w:val="00AB2D1C"/>
    <w:rsid w:val="00AB3585"/>
    <w:rsid w:val="00AB35BC"/>
    <w:rsid w:val="00AB3A41"/>
    <w:rsid w:val="00AB41A0"/>
    <w:rsid w:val="00AB4B25"/>
    <w:rsid w:val="00AB7066"/>
    <w:rsid w:val="00AB7669"/>
    <w:rsid w:val="00AB7A48"/>
    <w:rsid w:val="00AC0748"/>
    <w:rsid w:val="00AC2989"/>
    <w:rsid w:val="00AC2AFC"/>
    <w:rsid w:val="00AC2CBD"/>
    <w:rsid w:val="00AC428F"/>
    <w:rsid w:val="00AC4874"/>
    <w:rsid w:val="00AC4B14"/>
    <w:rsid w:val="00AC5138"/>
    <w:rsid w:val="00AC5278"/>
    <w:rsid w:val="00AC6406"/>
    <w:rsid w:val="00AC64D5"/>
    <w:rsid w:val="00AC7214"/>
    <w:rsid w:val="00AD140A"/>
    <w:rsid w:val="00AD16DA"/>
    <w:rsid w:val="00AD1B63"/>
    <w:rsid w:val="00AD27F0"/>
    <w:rsid w:val="00AD2B88"/>
    <w:rsid w:val="00AD31F6"/>
    <w:rsid w:val="00AD33C5"/>
    <w:rsid w:val="00AD3763"/>
    <w:rsid w:val="00AD3CA7"/>
    <w:rsid w:val="00AD51D9"/>
    <w:rsid w:val="00AD5727"/>
    <w:rsid w:val="00AD680D"/>
    <w:rsid w:val="00AD766A"/>
    <w:rsid w:val="00AE1625"/>
    <w:rsid w:val="00AE1F2A"/>
    <w:rsid w:val="00AE2D44"/>
    <w:rsid w:val="00AE4A7B"/>
    <w:rsid w:val="00AE4AB5"/>
    <w:rsid w:val="00AE59B7"/>
    <w:rsid w:val="00AE5A2E"/>
    <w:rsid w:val="00AE6038"/>
    <w:rsid w:val="00AE7E18"/>
    <w:rsid w:val="00AE7E7F"/>
    <w:rsid w:val="00AF06BB"/>
    <w:rsid w:val="00AF0E75"/>
    <w:rsid w:val="00AF2311"/>
    <w:rsid w:val="00AF402A"/>
    <w:rsid w:val="00AF4AAB"/>
    <w:rsid w:val="00AF5C0C"/>
    <w:rsid w:val="00AF632D"/>
    <w:rsid w:val="00AF69AD"/>
    <w:rsid w:val="00AF6E0A"/>
    <w:rsid w:val="00AF73E5"/>
    <w:rsid w:val="00AF7576"/>
    <w:rsid w:val="00AF77EF"/>
    <w:rsid w:val="00AF78FD"/>
    <w:rsid w:val="00B0133E"/>
    <w:rsid w:val="00B0137C"/>
    <w:rsid w:val="00B02E4B"/>
    <w:rsid w:val="00B03710"/>
    <w:rsid w:val="00B03B54"/>
    <w:rsid w:val="00B03BCD"/>
    <w:rsid w:val="00B041BC"/>
    <w:rsid w:val="00B04329"/>
    <w:rsid w:val="00B0443F"/>
    <w:rsid w:val="00B05678"/>
    <w:rsid w:val="00B05F56"/>
    <w:rsid w:val="00B062A1"/>
    <w:rsid w:val="00B07FB0"/>
    <w:rsid w:val="00B10D60"/>
    <w:rsid w:val="00B11E32"/>
    <w:rsid w:val="00B1377C"/>
    <w:rsid w:val="00B13DB3"/>
    <w:rsid w:val="00B13F6E"/>
    <w:rsid w:val="00B14DE4"/>
    <w:rsid w:val="00B14E8B"/>
    <w:rsid w:val="00B150C4"/>
    <w:rsid w:val="00B15330"/>
    <w:rsid w:val="00B15908"/>
    <w:rsid w:val="00B162B8"/>
    <w:rsid w:val="00B17C3C"/>
    <w:rsid w:val="00B17EE5"/>
    <w:rsid w:val="00B21C8E"/>
    <w:rsid w:val="00B22496"/>
    <w:rsid w:val="00B2356C"/>
    <w:rsid w:val="00B23EED"/>
    <w:rsid w:val="00B25CAE"/>
    <w:rsid w:val="00B26683"/>
    <w:rsid w:val="00B26D88"/>
    <w:rsid w:val="00B27E13"/>
    <w:rsid w:val="00B30013"/>
    <w:rsid w:val="00B303DC"/>
    <w:rsid w:val="00B324CF"/>
    <w:rsid w:val="00B32A0A"/>
    <w:rsid w:val="00B33218"/>
    <w:rsid w:val="00B3324C"/>
    <w:rsid w:val="00B34418"/>
    <w:rsid w:val="00B34764"/>
    <w:rsid w:val="00B347A3"/>
    <w:rsid w:val="00B37ED6"/>
    <w:rsid w:val="00B4151A"/>
    <w:rsid w:val="00B42887"/>
    <w:rsid w:val="00B42E83"/>
    <w:rsid w:val="00B435A8"/>
    <w:rsid w:val="00B43739"/>
    <w:rsid w:val="00B43888"/>
    <w:rsid w:val="00B43A90"/>
    <w:rsid w:val="00B43BF9"/>
    <w:rsid w:val="00B44BC3"/>
    <w:rsid w:val="00B44E5E"/>
    <w:rsid w:val="00B45170"/>
    <w:rsid w:val="00B45CE6"/>
    <w:rsid w:val="00B45E4D"/>
    <w:rsid w:val="00B47E29"/>
    <w:rsid w:val="00B5049F"/>
    <w:rsid w:val="00B509E5"/>
    <w:rsid w:val="00B519BF"/>
    <w:rsid w:val="00B547C9"/>
    <w:rsid w:val="00B559B9"/>
    <w:rsid w:val="00B56169"/>
    <w:rsid w:val="00B56A96"/>
    <w:rsid w:val="00B57378"/>
    <w:rsid w:val="00B6098C"/>
    <w:rsid w:val="00B6140E"/>
    <w:rsid w:val="00B62D34"/>
    <w:rsid w:val="00B634B3"/>
    <w:rsid w:val="00B63C12"/>
    <w:rsid w:val="00B647EE"/>
    <w:rsid w:val="00B64E1A"/>
    <w:rsid w:val="00B65702"/>
    <w:rsid w:val="00B6586C"/>
    <w:rsid w:val="00B7004E"/>
    <w:rsid w:val="00B72118"/>
    <w:rsid w:val="00B72806"/>
    <w:rsid w:val="00B72C78"/>
    <w:rsid w:val="00B733CD"/>
    <w:rsid w:val="00B7381C"/>
    <w:rsid w:val="00B74B05"/>
    <w:rsid w:val="00B74DB9"/>
    <w:rsid w:val="00B75CB1"/>
    <w:rsid w:val="00B75D21"/>
    <w:rsid w:val="00B761F9"/>
    <w:rsid w:val="00B7706E"/>
    <w:rsid w:val="00B80523"/>
    <w:rsid w:val="00B8126B"/>
    <w:rsid w:val="00B818DD"/>
    <w:rsid w:val="00B84FEA"/>
    <w:rsid w:val="00B850B2"/>
    <w:rsid w:val="00B857F5"/>
    <w:rsid w:val="00B9078B"/>
    <w:rsid w:val="00B92599"/>
    <w:rsid w:val="00B94416"/>
    <w:rsid w:val="00B95287"/>
    <w:rsid w:val="00B9571C"/>
    <w:rsid w:val="00B95A31"/>
    <w:rsid w:val="00B96021"/>
    <w:rsid w:val="00B961BB"/>
    <w:rsid w:val="00B96F4A"/>
    <w:rsid w:val="00B97B7C"/>
    <w:rsid w:val="00BA0A98"/>
    <w:rsid w:val="00BA121C"/>
    <w:rsid w:val="00BA4723"/>
    <w:rsid w:val="00BA4E40"/>
    <w:rsid w:val="00BA51E4"/>
    <w:rsid w:val="00BA5374"/>
    <w:rsid w:val="00BA5449"/>
    <w:rsid w:val="00BA582C"/>
    <w:rsid w:val="00BA5E35"/>
    <w:rsid w:val="00BA6729"/>
    <w:rsid w:val="00BA683E"/>
    <w:rsid w:val="00BA6BE2"/>
    <w:rsid w:val="00BA6F40"/>
    <w:rsid w:val="00BA732C"/>
    <w:rsid w:val="00BA7AD8"/>
    <w:rsid w:val="00BA7BA5"/>
    <w:rsid w:val="00BB2FC8"/>
    <w:rsid w:val="00BB39DE"/>
    <w:rsid w:val="00BB40B6"/>
    <w:rsid w:val="00BB4AD8"/>
    <w:rsid w:val="00BB4DCA"/>
    <w:rsid w:val="00BB53BA"/>
    <w:rsid w:val="00BB6236"/>
    <w:rsid w:val="00BC0394"/>
    <w:rsid w:val="00BC1085"/>
    <w:rsid w:val="00BC19D7"/>
    <w:rsid w:val="00BC2031"/>
    <w:rsid w:val="00BC4843"/>
    <w:rsid w:val="00BC4E87"/>
    <w:rsid w:val="00BC587C"/>
    <w:rsid w:val="00BC7B14"/>
    <w:rsid w:val="00BD0C82"/>
    <w:rsid w:val="00BD2E0A"/>
    <w:rsid w:val="00BD36DE"/>
    <w:rsid w:val="00BD515B"/>
    <w:rsid w:val="00BD5B1E"/>
    <w:rsid w:val="00BD62B3"/>
    <w:rsid w:val="00BD648A"/>
    <w:rsid w:val="00BD7A45"/>
    <w:rsid w:val="00BE226A"/>
    <w:rsid w:val="00BE2EB4"/>
    <w:rsid w:val="00BE510B"/>
    <w:rsid w:val="00BE634F"/>
    <w:rsid w:val="00BE7942"/>
    <w:rsid w:val="00BE7F26"/>
    <w:rsid w:val="00BF1048"/>
    <w:rsid w:val="00BF104F"/>
    <w:rsid w:val="00BF1297"/>
    <w:rsid w:val="00BF2BDC"/>
    <w:rsid w:val="00BF2E8B"/>
    <w:rsid w:val="00BF522A"/>
    <w:rsid w:val="00BF55B2"/>
    <w:rsid w:val="00BF5A32"/>
    <w:rsid w:val="00BF7D15"/>
    <w:rsid w:val="00C00419"/>
    <w:rsid w:val="00C00BA1"/>
    <w:rsid w:val="00C01196"/>
    <w:rsid w:val="00C016CB"/>
    <w:rsid w:val="00C02088"/>
    <w:rsid w:val="00C02659"/>
    <w:rsid w:val="00C02A14"/>
    <w:rsid w:val="00C0360F"/>
    <w:rsid w:val="00C03DED"/>
    <w:rsid w:val="00C042EE"/>
    <w:rsid w:val="00C0434C"/>
    <w:rsid w:val="00C054A2"/>
    <w:rsid w:val="00C06939"/>
    <w:rsid w:val="00C07708"/>
    <w:rsid w:val="00C07EB1"/>
    <w:rsid w:val="00C07F91"/>
    <w:rsid w:val="00C10D36"/>
    <w:rsid w:val="00C10EEA"/>
    <w:rsid w:val="00C11C91"/>
    <w:rsid w:val="00C11DB1"/>
    <w:rsid w:val="00C1395A"/>
    <w:rsid w:val="00C14138"/>
    <w:rsid w:val="00C14B04"/>
    <w:rsid w:val="00C150EA"/>
    <w:rsid w:val="00C1733E"/>
    <w:rsid w:val="00C2043F"/>
    <w:rsid w:val="00C216B8"/>
    <w:rsid w:val="00C2198E"/>
    <w:rsid w:val="00C21A73"/>
    <w:rsid w:val="00C2206F"/>
    <w:rsid w:val="00C2270E"/>
    <w:rsid w:val="00C2361D"/>
    <w:rsid w:val="00C23D75"/>
    <w:rsid w:val="00C24786"/>
    <w:rsid w:val="00C24D40"/>
    <w:rsid w:val="00C27DDF"/>
    <w:rsid w:val="00C30983"/>
    <w:rsid w:val="00C30E38"/>
    <w:rsid w:val="00C32102"/>
    <w:rsid w:val="00C3329C"/>
    <w:rsid w:val="00C33CF4"/>
    <w:rsid w:val="00C33DEF"/>
    <w:rsid w:val="00C349BE"/>
    <w:rsid w:val="00C350F2"/>
    <w:rsid w:val="00C358BA"/>
    <w:rsid w:val="00C45B88"/>
    <w:rsid w:val="00C46178"/>
    <w:rsid w:val="00C470A9"/>
    <w:rsid w:val="00C50685"/>
    <w:rsid w:val="00C52CF3"/>
    <w:rsid w:val="00C543E2"/>
    <w:rsid w:val="00C552D5"/>
    <w:rsid w:val="00C554FB"/>
    <w:rsid w:val="00C55B41"/>
    <w:rsid w:val="00C55C45"/>
    <w:rsid w:val="00C56C6E"/>
    <w:rsid w:val="00C56CAA"/>
    <w:rsid w:val="00C56DB2"/>
    <w:rsid w:val="00C577C9"/>
    <w:rsid w:val="00C604A1"/>
    <w:rsid w:val="00C60C39"/>
    <w:rsid w:val="00C630C6"/>
    <w:rsid w:val="00C63918"/>
    <w:rsid w:val="00C6472B"/>
    <w:rsid w:val="00C6488D"/>
    <w:rsid w:val="00C648A3"/>
    <w:rsid w:val="00C6500C"/>
    <w:rsid w:val="00C653E5"/>
    <w:rsid w:val="00C6560B"/>
    <w:rsid w:val="00C66FDE"/>
    <w:rsid w:val="00C6701B"/>
    <w:rsid w:val="00C71F05"/>
    <w:rsid w:val="00C777CB"/>
    <w:rsid w:val="00C77D2A"/>
    <w:rsid w:val="00C80DE1"/>
    <w:rsid w:val="00C80EBB"/>
    <w:rsid w:val="00C81213"/>
    <w:rsid w:val="00C8169C"/>
    <w:rsid w:val="00C81D5A"/>
    <w:rsid w:val="00C81EEF"/>
    <w:rsid w:val="00C81FAD"/>
    <w:rsid w:val="00C82911"/>
    <w:rsid w:val="00C8381C"/>
    <w:rsid w:val="00C85B8D"/>
    <w:rsid w:val="00C867C8"/>
    <w:rsid w:val="00C872EB"/>
    <w:rsid w:val="00C87393"/>
    <w:rsid w:val="00C87CAB"/>
    <w:rsid w:val="00C902D1"/>
    <w:rsid w:val="00C90D6B"/>
    <w:rsid w:val="00C951A6"/>
    <w:rsid w:val="00C952B3"/>
    <w:rsid w:val="00C955D0"/>
    <w:rsid w:val="00C95E6A"/>
    <w:rsid w:val="00C96678"/>
    <w:rsid w:val="00C96E1E"/>
    <w:rsid w:val="00CA08B6"/>
    <w:rsid w:val="00CA1F3D"/>
    <w:rsid w:val="00CA272F"/>
    <w:rsid w:val="00CA2D52"/>
    <w:rsid w:val="00CA3405"/>
    <w:rsid w:val="00CA41C0"/>
    <w:rsid w:val="00CA487D"/>
    <w:rsid w:val="00CA65A5"/>
    <w:rsid w:val="00CA7088"/>
    <w:rsid w:val="00CA73A6"/>
    <w:rsid w:val="00CA760C"/>
    <w:rsid w:val="00CA7D32"/>
    <w:rsid w:val="00CB24EB"/>
    <w:rsid w:val="00CB2509"/>
    <w:rsid w:val="00CB2CB5"/>
    <w:rsid w:val="00CB42EC"/>
    <w:rsid w:val="00CB6686"/>
    <w:rsid w:val="00CB66F8"/>
    <w:rsid w:val="00CB7ADB"/>
    <w:rsid w:val="00CB7E67"/>
    <w:rsid w:val="00CC0AE6"/>
    <w:rsid w:val="00CC1184"/>
    <w:rsid w:val="00CC11CF"/>
    <w:rsid w:val="00CC1B65"/>
    <w:rsid w:val="00CC2C12"/>
    <w:rsid w:val="00CC3385"/>
    <w:rsid w:val="00CC3F51"/>
    <w:rsid w:val="00CC4D2D"/>
    <w:rsid w:val="00CC5386"/>
    <w:rsid w:val="00CC6194"/>
    <w:rsid w:val="00CC634B"/>
    <w:rsid w:val="00CD0F5C"/>
    <w:rsid w:val="00CD1277"/>
    <w:rsid w:val="00CD1760"/>
    <w:rsid w:val="00CD1C6E"/>
    <w:rsid w:val="00CD1E81"/>
    <w:rsid w:val="00CD221A"/>
    <w:rsid w:val="00CD2442"/>
    <w:rsid w:val="00CD2578"/>
    <w:rsid w:val="00CD300D"/>
    <w:rsid w:val="00CD3343"/>
    <w:rsid w:val="00CD3825"/>
    <w:rsid w:val="00CD3B5B"/>
    <w:rsid w:val="00CD4525"/>
    <w:rsid w:val="00CD51F2"/>
    <w:rsid w:val="00CD523C"/>
    <w:rsid w:val="00CD6A74"/>
    <w:rsid w:val="00CD6E48"/>
    <w:rsid w:val="00CE00F9"/>
    <w:rsid w:val="00CE0201"/>
    <w:rsid w:val="00CE0924"/>
    <w:rsid w:val="00CE10F5"/>
    <w:rsid w:val="00CE24F3"/>
    <w:rsid w:val="00CE269F"/>
    <w:rsid w:val="00CE2AEF"/>
    <w:rsid w:val="00CE2B50"/>
    <w:rsid w:val="00CE3100"/>
    <w:rsid w:val="00CE41D5"/>
    <w:rsid w:val="00CE48C4"/>
    <w:rsid w:val="00CE4D26"/>
    <w:rsid w:val="00CE73DE"/>
    <w:rsid w:val="00CF0132"/>
    <w:rsid w:val="00CF056B"/>
    <w:rsid w:val="00CF08F7"/>
    <w:rsid w:val="00CF2800"/>
    <w:rsid w:val="00CF3B66"/>
    <w:rsid w:val="00CF3D07"/>
    <w:rsid w:val="00CF4DA4"/>
    <w:rsid w:val="00CF54E1"/>
    <w:rsid w:val="00CF5641"/>
    <w:rsid w:val="00CF5D91"/>
    <w:rsid w:val="00CF5F78"/>
    <w:rsid w:val="00CF74D6"/>
    <w:rsid w:val="00D01D9B"/>
    <w:rsid w:val="00D02038"/>
    <w:rsid w:val="00D02D0D"/>
    <w:rsid w:val="00D02D2E"/>
    <w:rsid w:val="00D036B8"/>
    <w:rsid w:val="00D03F7F"/>
    <w:rsid w:val="00D06516"/>
    <w:rsid w:val="00D06BD4"/>
    <w:rsid w:val="00D06EBA"/>
    <w:rsid w:val="00D06EE9"/>
    <w:rsid w:val="00D079E0"/>
    <w:rsid w:val="00D07DAC"/>
    <w:rsid w:val="00D110C9"/>
    <w:rsid w:val="00D11899"/>
    <w:rsid w:val="00D138D5"/>
    <w:rsid w:val="00D144B6"/>
    <w:rsid w:val="00D14B3C"/>
    <w:rsid w:val="00D14FD1"/>
    <w:rsid w:val="00D15756"/>
    <w:rsid w:val="00D17843"/>
    <w:rsid w:val="00D20083"/>
    <w:rsid w:val="00D20356"/>
    <w:rsid w:val="00D20BFF"/>
    <w:rsid w:val="00D21D9D"/>
    <w:rsid w:val="00D2240D"/>
    <w:rsid w:val="00D22B92"/>
    <w:rsid w:val="00D2393B"/>
    <w:rsid w:val="00D23954"/>
    <w:rsid w:val="00D23EA8"/>
    <w:rsid w:val="00D248BF"/>
    <w:rsid w:val="00D256B1"/>
    <w:rsid w:val="00D2629B"/>
    <w:rsid w:val="00D26CA7"/>
    <w:rsid w:val="00D275B7"/>
    <w:rsid w:val="00D30E5D"/>
    <w:rsid w:val="00D316DF"/>
    <w:rsid w:val="00D33582"/>
    <w:rsid w:val="00D33D26"/>
    <w:rsid w:val="00D33E99"/>
    <w:rsid w:val="00D344E1"/>
    <w:rsid w:val="00D3487E"/>
    <w:rsid w:val="00D35B18"/>
    <w:rsid w:val="00D36562"/>
    <w:rsid w:val="00D36B04"/>
    <w:rsid w:val="00D3740F"/>
    <w:rsid w:val="00D37636"/>
    <w:rsid w:val="00D40653"/>
    <w:rsid w:val="00D40FA4"/>
    <w:rsid w:val="00D43054"/>
    <w:rsid w:val="00D443A6"/>
    <w:rsid w:val="00D447CD"/>
    <w:rsid w:val="00D44C31"/>
    <w:rsid w:val="00D46222"/>
    <w:rsid w:val="00D47CCE"/>
    <w:rsid w:val="00D50469"/>
    <w:rsid w:val="00D507D1"/>
    <w:rsid w:val="00D5153F"/>
    <w:rsid w:val="00D52689"/>
    <w:rsid w:val="00D52E37"/>
    <w:rsid w:val="00D540A2"/>
    <w:rsid w:val="00D55F10"/>
    <w:rsid w:val="00D56CDE"/>
    <w:rsid w:val="00D570E9"/>
    <w:rsid w:val="00D628ED"/>
    <w:rsid w:val="00D629CD"/>
    <w:rsid w:val="00D62A6C"/>
    <w:rsid w:val="00D62D8C"/>
    <w:rsid w:val="00D62E38"/>
    <w:rsid w:val="00D63C55"/>
    <w:rsid w:val="00D64133"/>
    <w:rsid w:val="00D64393"/>
    <w:rsid w:val="00D65365"/>
    <w:rsid w:val="00D65A39"/>
    <w:rsid w:val="00D65BC5"/>
    <w:rsid w:val="00D65E12"/>
    <w:rsid w:val="00D6614A"/>
    <w:rsid w:val="00D67500"/>
    <w:rsid w:val="00D6753D"/>
    <w:rsid w:val="00D7079C"/>
    <w:rsid w:val="00D70FD8"/>
    <w:rsid w:val="00D71365"/>
    <w:rsid w:val="00D71DD9"/>
    <w:rsid w:val="00D72BD9"/>
    <w:rsid w:val="00D72D41"/>
    <w:rsid w:val="00D735BB"/>
    <w:rsid w:val="00D740A1"/>
    <w:rsid w:val="00D742E3"/>
    <w:rsid w:val="00D752AE"/>
    <w:rsid w:val="00D763CC"/>
    <w:rsid w:val="00D7689D"/>
    <w:rsid w:val="00D7710F"/>
    <w:rsid w:val="00D77437"/>
    <w:rsid w:val="00D774DA"/>
    <w:rsid w:val="00D77ACF"/>
    <w:rsid w:val="00D77D9E"/>
    <w:rsid w:val="00D8007D"/>
    <w:rsid w:val="00D800AF"/>
    <w:rsid w:val="00D800FD"/>
    <w:rsid w:val="00D80999"/>
    <w:rsid w:val="00D8156B"/>
    <w:rsid w:val="00D81B95"/>
    <w:rsid w:val="00D81CE9"/>
    <w:rsid w:val="00D82022"/>
    <w:rsid w:val="00D838A5"/>
    <w:rsid w:val="00D83B48"/>
    <w:rsid w:val="00D84C1D"/>
    <w:rsid w:val="00D852A1"/>
    <w:rsid w:val="00D86321"/>
    <w:rsid w:val="00D86565"/>
    <w:rsid w:val="00D8732F"/>
    <w:rsid w:val="00D90194"/>
    <w:rsid w:val="00D90535"/>
    <w:rsid w:val="00D90674"/>
    <w:rsid w:val="00D91B25"/>
    <w:rsid w:val="00D92ED5"/>
    <w:rsid w:val="00D93F51"/>
    <w:rsid w:val="00D94303"/>
    <w:rsid w:val="00D9482E"/>
    <w:rsid w:val="00D94AA8"/>
    <w:rsid w:val="00D94BAC"/>
    <w:rsid w:val="00D959B8"/>
    <w:rsid w:val="00D964EA"/>
    <w:rsid w:val="00D968DF"/>
    <w:rsid w:val="00D971AA"/>
    <w:rsid w:val="00D97DAC"/>
    <w:rsid w:val="00DA0369"/>
    <w:rsid w:val="00DA17F9"/>
    <w:rsid w:val="00DA1E37"/>
    <w:rsid w:val="00DA3BCF"/>
    <w:rsid w:val="00DA4A88"/>
    <w:rsid w:val="00DA50ED"/>
    <w:rsid w:val="00DA6254"/>
    <w:rsid w:val="00DA6591"/>
    <w:rsid w:val="00DB0286"/>
    <w:rsid w:val="00DB0837"/>
    <w:rsid w:val="00DB0BEC"/>
    <w:rsid w:val="00DB172C"/>
    <w:rsid w:val="00DB1A0C"/>
    <w:rsid w:val="00DB2752"/>
    <w:rsid w:val="00DB3C27"/>
    <w:rsid w:val="00DB414A"/>
    <w:rsid w:val="00DB4177"/>
    <w:rsid w:val="00DB4B61"/>
    <w:rsid w:val="00DB4EB4"/>
    <w:rsid w:val="00DB5ABB"/>
    <w:rsid w:val="00DB67D4"/>
    <w:rsid w:val="00DB71E8"/>
    <w:rsid w:val="00DC03B9"/>
    <w:rsid w:val="00DC08DE"/>
    <w:rsid w:val="00DC0DEB"/>
    <w:rsid w:val="00DC32AA"/>
    <w:rsid w:val="00DC5CAF"/>
    <w:rsid w:val="00DC6169"/>
    <w:rsid w:val="00DD0EF1"/>
    <w:rsid w:val="00DD106C"/>
    <w:rsid w:val="00DD1BE8"/>
    <w:rsid w:val="00DD24C9"/>
    <w:rsid w:val="00DD25DA"/>
    <w:rsid w:val="00DD5EA8"/>
    <w:rsid w:val="00DD633F"/>
    <w:rsid w:val="00DD64C1"/>
    <w:rsid w:val="00DD76EE"/>
    <w:rsid w:val="00DE06E2"/>
    <w:rsid w:val="00DE1EFF"/>
    <w:rsid w:val="00DE236D"/>
    <w:rsid w:val="00DE37D8"/>
    <w:rsid w:val="00DE3C80"/>
    <w:rsid w:val="00DE42DD"/>
    <w:rsid w:val="00DE45A1"/>
    <w:rsid w:val="00DE55EF"/>
    <w:rsid w:val="00DE5CB9"/>
    <w:rsid w:val="00DE6622"/>
    <w:rsid w:val="00DE6712"/>
    <w:rsid w:val="00DE7063"/>
    <w:rsid w:val="00DE7316"/>
    <w:rsid w:val="00DE7EBD"/>
    <w:rsid w:val="00DE7EE2"/>
    <w:rsid w:val="00DF036E"/>
    <w:rsid w:val="00DF058D"/>
    <w:rsid w:val="00DF2706"/>
    <w:rsid w:val="00DF2E17"/>
    <w:rsid w:val="00DF3B22"/>
    <w:rsid w:val="00DF492C"/>
    <w:rsid w:val="00DF54EA"/>
    <w:rsid w:val="00DF7DC8"/>
    <w:rsid w:val="00E006D3"/>
    <w:rsid w:val="00E01F95"/>
    <w:rsid w:val="00E02742"/>
    <w:rsid w:val="00E034ED"/>
    <w:rsid w:val="00E04D5D"/>
    <w:rsid w:val="00E0552D"/>
    <w:rsid w:val="00E05C1F"/>
    <w:rsid w:val="00E10DE7"/>
    <w:rsid w:val="00E116DA"/>
    <w:rsid w:val="00E11B3A"/>
    <w:rsid w:val="00E14483"/>
    <w:rsid w:val="00E14793"/>
    <w:rsid w:val="00E14E50"/>
    <w:rsid w:val="00E150AC"/>
    <w:rsid w:val="00E153C0"/>
    <w:rsid w:val="00E15C00"/>
    <w:rsid w:val="00E16E8C"/>
    <w:rsid w:val="00E17A2A"/>
    <w:rsid w:val="00E20CBD"/>
    <w:rsid w:val="00E22025"/>
    <w:rsid w:val="00E221D2"/>
    <w:rsid w:val="00E243D2"/>
    <w:rsid w:val="00E247BA"/>
    <w:rsid w:val="00E25C16"/>
    <w:rsid w:val="00E315B1"/>
    <w:rsid w:val="00E31CCB"/>
    <w:rsid w:val="00E3249A"/>
    <w:rsid w:val="00E33330"/>
    <w:rsid w:val="00E343C9"/>
    <w:rsid w:val="00E3492F"/>
    <w:rsid w:val="00E361FA"/>
    <w:rsid w:val="00E36E03"/>
    <w:rsid w:val="00E3722C"/>
    <w:rsid w:val="00E37414"/>
    <w:rsid w:val="00E3741C"/>
    <w:rsid w:val="00E40048"/>
    <w:rsid w:val="00E41A3D"/>
    <w:rsid w:val="00E421F5"/>
    <w:rsid w:val="00E42C13"/>
    <w:rsid w:val="00E437A9"/>
    <w:rsid w:val="00E43CA4"/>
    <w:rsid w:val="00E44367"/>
    <w:rsid w:val="00E44D16"/>
    <w:rsid w:val="00E44EC4"/>
    <w:rsid w:val="00E45D9F"/>
    <w:rsid w:val="00E45F7C"/>
    <w:rsid w:val="00E47728"/>
    <w:rsid w:val="00E477A0"/>
    <w:rsid w:val="00E478D4"/>
    <w:rsid w:val="00E47E9E"/>
    <w:rsid w:val="00E51FFC"/>
    <w:rsid w:val="00E528B8"/>
    <w:rsid w:val="00E54F89"/>
    <w:rsid w:val="00E550E9"/>
    <w:rsid w:val="00E558CF"/>
    <w:rsid w:val="00E560EE"/>
    <w:rsid w:val="00E56B47"/>
    <w:rsid w:val="00E603C5"/>
    <w:rsid w:val="00E61163"/>
    <w:rsid w:val="00E61AE3"/>
    <w:rsid w:val="00E6353D"/>
    <w:rsid w:val="00E63673"/>
    <w:rsid w:val="00E6404E"/>
    <w:rsid w:val="00E64819"/>
    <w:rsid w:val="00E650C0"/>
    <w:rsid w:val="00E6519D"/>
    <w:rsid w:val="00E6538D"/>
    <w:rsid w:val="00E65E18"/>
    <w:rsid w:val="00E66535"/>
    <w:rsid w:val="00E66951"/>
    <w:rsid w:val="00E6711A"/>
    <w:rsid w:val="00E70785"/>
    <w:rsid w:val="00E70EA2"/>
    <w:rsid w:val="00E713DE"/>
    <w:rsid w:val="00E72150"/>
    <w:rsid w:val="00E726BD"/>
    <w:rsid w:val="00E73259"/>
    <w:rsid w:val="00E73F8A"/>
    <w:rsid w:val="00E7497D"/>
    <w:rsid w:val="00E74B7A"/>
    <w:rsid w:val="00E74D9D"/>
    <w:rsid w:val="00E74F93"/>
    <w:rsid w:val="00E75DD4"/>
    <w:rsid w:val="00E7603B"/>
    <w:rsid w:val="00E764B1"/>
    <w:rsid w:val="00E775C7"/>
    <w:rsid w:val="00E804BA"/>
    <w:rsid w:val="00E806A8"/>
    <w:rsid w:val="00E80EE8"/>
    <w:rsid w:val="00E8219D"/>
    <w:rsid w:val="00E8283D"/>
    <w:rsid w:val="00E82C12"/>
    <w:rsid w:val="00E82E79"/>
    <w:rsid w:val="00E8360C"/>
    <w:rsid w:val="00E843F3"/>
    <w:rsid w:val="00E84F87"/>
    <w:rsid w:val="00E84FC6"/>
    <w:rsid w:val="00E85FB7"/>
    <w:rsid w:val="00E86DE6"/>
    <w:rsid w:val="00E875C9"/>
    <w:rsid w:val="00E87E25"/>
    <w:rsid w:val="00E9069C"/>
    <w:rsid w:val="00E90FEB"/>
    <w:rsid w:val="00E912C1"/>
    <w:rsid w:val="00E91981"/>
    <w:rsid w:val="00E929D6"/>
    <w:rsid w:val="00E9302D"/>
    <w:rsid w:val="00E947F3"/>
    <w:rsid w:val="00E965B4"/>
    <w:rsid w:val="00E96BBC"/>
    <w:rsid w:val="00E97FB3"/>
    <w:rsid w:val="00EA02E0"/>
    <w:rsid w:val="00EA078E"/>
    <w:rsid w:val="00EA2BB1"/>
    <w:rsid w:val="00EA2DE3"/>
    <w:rsid w:val="00EA3A19"/>
    <w:rsid w:val="00EA4E54"/>
    <w:rsid w:val="00EA5B48"/>
    <w:rsid w:val="00EA5DD2"/>
    <w:rsid w:val="00EA70A4"/>
    <w:rsid w:val="00EB1F8B"/>
    <w:rsid w:val="00EB23A5"/>
    <w:rsid w:val="00EB2CDE"/>
    <w:rsid w:val="00EB36A8"/>
    <w:rsid w:val="00EB4547"/>
    <w:rsid w:val="00EB4F7B"/>
    <w:rsid w:val="00EB568A"/>
    <w:rsid w:val="00EB6154"/>
    <w:rsid w:val="00EB6773"/>
    <w:rsid w:val="00EB6E6C"/>
    <w:rsid w:val="00EB6F97"/>
    <w:rsid w:val="00EC0972"/>
    <w:rsid w:val="00EC13EE"/>
    <w:rsid w:val="00EC4438"/>
    <w:rsid w:val="00EC5C0E"/>
    <w:rsid w:val="00EC60DF"/>
    <w:rsid w:val="00EC665F"/>
    <w:rsid w:val="00ED11F8"/>
    <w:rsid w:val="00ED2901"/>
    <w:rsid w:val="00ED392D"/>
    <w:rsid w:val="00ED394F"/>
    <w:rsid w:val="00ED396E"/>
    <w:rsid w:val="00ED7A25"/>
    <w:rsid w:val="00ED7EE2"/>
    <w:rsid w:val="00EE0DD3"/>
    <w:rsid w:val="00EE12BD"/>
    <w:rsid w:val="00EE18C8"/>
    <w:rsid w:val="00EE2664"/>
    <w:rsid w:val="00EE44FE"/>
    <w:rsid w:val="00EE458F"/>
    <w:rsid w:val="00EE4D04"/>
    <w:rsid w:val="00EE545E"/>
    <w:rsid w:val="00EE6131"/>
    <w:rsid w:val="00EF0143"/>
    <w:rsid w:val="00EF06DC"/>
    <w:rsid w:val="00EF141C"/>
    <w:rsid w:val="00EF1B2F"/>
    <w:rsid w:val="00EF2984"/>
    <w:rsid w:val="00EF29C9"/>
    <w:rsid w:val="00EF337E"/>
    <w:rsid w:val="00EF49C0"/>
    <w:rsid w:val="00EF7414"/>
    <w:rsid w:val="00EF7587"/>
    <w:rsid w:val="00EF76FA"/>
    <w:rsid w:val="00EF7CA7"/>
    <w:rsid w:val="00F004B0"/>
    <w:rsid w:val="00F00BA8"/>
    <w:rsid w:val="00F00CFE"/>
    <w:rsid w:val="00F013C8"/>
    <w:rsid w:val="00F01F28"/>
    <w:rsid w:val="00F0204E"/>
    <w:rsid w:val="00F020D2"/>
    <w:rsid w:val="00F02702"/>
    <w:rsid w:val="00F02CD6"/>
    <w:rsid w:val="00F03B6A"/>
    <w:rsid w:val="00F03C1D"/>
    <w:rsid w:val="00F04599"/>
    <w:rsid w:val="00F0629A"/>
    <w:rsid w:val="00F06500"/>
    <w:rsid w:val="00F06A2D"/>
    <w:rsid w:val="00F0741D"/>
    <w:rsid w:val="00F11BA5"/>
    <w:rsid w:val="00F14610"/>
    <w:rsid w:val="00F14928"/>
    <w:rsid w:val="00F1524B"/>
    <w:rsid w:val="00F15566"/>
    <w:rsid w:val="00F15BCA"/>
    <w:rsid w:val="00F17766"/>
    <w:rsid w:val="00F17DC1"/>
    <w:rsid w:val="00F214B3"/>
    <w:rsid w:val="00F222A3"/>
    <w:rsid w:val="00F22B4B"/>
    <w:rsid w:val="00F231A1"/>
    <w:rsid w:val="00F233C1"/>
    <w:rsid w:val="00F24701"/>
    <w:rsid w:val="00F24E7B"/>
    <w:rsid w:val="00F24FC7"/>
    <w:rsid w:val="00F25632"/>
    <w:rsid w:val="00F25ABB"/>
    <w:rsid w:val="00F26BEF"/>
    <w:rsid w:val="00F273DF"/>
    <w:rsid w:val="00F273F1"/>
    <w:rsid w:val="00F3088C"/>
    <w:rsid w:val="00F32846"/>
    <w:rsid w:val="00F34A6C"/>
    <w:rsid w:val="00F3537C"/>
    <w:rsid w:val="00F362BA"/>
    <w:rsid w:val="00F36AFC"/>
    <w:rsid w:val="00F374C5"/>
    <w:rsid w:val="00F4185C"/>
    <w:rsid w:val="00F41C04"/>
    <w:rsid w:val="00F4380C"/>
    <w:rsid w:val="00F43B05"/>
    <w:rsid w:val="00F443EB"/>
    <w:rsid w:val="00F445EC"/>
    <w:rsid w:val="00F44D1A"/>
    <w:rsid w:val="00F44F4E"/>
    <w:rsid w:val="00F451E2"/>
    <w:rsid w:val="00F45FE8"/>
    <w:rsid w:val="00F460E1"/>
    <w:rsid w:val="00F46459"/>
    <w:rsid w:val="00F46E4B"/>
    <w:rsid w:val="00F46F38"/>
    <w:rsid w:val="00F5173B"/>
    <w:rsid w:val="00F5412E"/>
    <w:rsid w:val="00F549A2"/>
    <w:rsid w:val="00F54CB9"/>
    <w:rsid w:val="00F556BC"/>
    <w:rsid w:val="00F558EF"/>
    <w:rsid w:val="00F57C39"/>
    <w:rsid w:val="00F57E9C"/>
    <w:rsid w:val="00F60BB7"/>
    <w:rsid w:val="00F61A4D"/>
    <w:rsid w:val="00F63110"/>
    <w:rsid w:val="00F63F26"/>
    <w:rsid w:val="00F66C67"/>
    <w:rsid w:val="00F70095"/>
    <w:rsid w:val="00F703D3"/>
    <w:rsid w:val="00F70F9C"/>
    <w:rsid w:val="00F7257A"/>
    <w:rsid w:val="00F7264D"/>
    <w:rsid w:val="00F74621"/>
    <w:rsid w:val="00F74880"/>
    <w:rsid w:val="00F74A8E"/>
    <w:rsid w:val="00F7525D"/>
    <w:rsid w:val="00F7745A"/>
    <w:rsid w:val="00F77AB2"/>
    <w:rsid w:val="00F8110E"/>
    <w:rsid w:val="00F81D98"/>
    <w:rsid w:val="00F81F30"/>
    <w:rsid w:val="00F828E3"/>
    <w:rsid w:val="00F83C38"/>
    <w:rsid w:val="00F8446A"/>
    <w:rsid w:val="00F84DFB"/>
    <w:rsid w:val="00F8632F"/>
    <w:rsid w:val="00F92575"/>
    <w:rsid w:val="00F92596"/>
    <w:rsid w:val="00F93CEF"/>
    <w:rsid w:val="00F94959"/>
    <w:rsid w:val="00F95EF7"/>
    <w:rsid w:val="00FA0C20"/>
    <w:rsid w:val="00FA1203"/>
    <w:rsid w:val="00FA2690"/>
    <w:rsid w:val="00FA351E"/>
    <w:rsid w:val="00FA3DC9"/>
    <w:rsid w:val="00FA543E"/>
    <w:rsid w:val="00FA58EA"/>
    <w:rsid w:val="00FA794D"/>
    <w:rsid w:val="00FB0A23"/>
    <w:rsid w:val="00FB184C"/>
    <w:rsid w:val="00FB211E"/>
    <w:rsid w:val="00FB27FE"/>
    <w:rsid w:val="00FB3C60"/>
    <w:rsid w:val="00FB49BC"/>
    <w:rsid w:val="00FB6A21"/>
    <w:rsid w:val="00FB713F"/>
    <w:rsid w:val="00FB7180"/>
    <w:rsid w:val="00FC041B"/>
    <w:rsid w:val="00FC195D"/>
    <w:rsid w:val="00FC1A07"/>
    <w:rsid w:val="00FC503D"/>
    <w:rsid w:val="00FC508C"/>
    <w:rsid w:val="00FC7649"/>
    <w:rsid w:val="00FD04FA"/>
    <w:rsid w:val="00FD1209"/>
    <w:rsid w:val="00FD205B"/>
    <w:rsid w:val="00FD27DB"/>
    <w:rsid w:val="00FD4BA9"/>
    <w:rsid w:val="00FD590A"/>
    <w:rsid w:val="00FD6043"/>
    <w:rsid w:val="00FD65D5"/>
    <w:rsid w:val="00FE00BD"/>
    <w:rsid w:val="00FE2334"/>
    <w:rsid w:val="00FE4201"/>
    <w:rsid w:val="00FE4566"/>
    <w:rsid w:val="00FE7EFD"/>
    <w:rsid w:val="00FF0173"/>
    <w:rsid w:val="00FF01B4"/>
    <w:rsid w:val="00FF0694"/>
    <w:rsid w:val="00FF13AD"/>
    <w:rsid w:val="00FF4324"/>
    <w:rsid w:val="00FF55A6"/>
    <w:rsid w:val="016F283F"/>
    <w:rsid w:val="021E2E86"/>
    <w:rsid w:val="02A25AF1"/>
    <w:rsid w:val="03234ECC"/>
    <w:rsid w:val="036057A9"/>
    <w:rsid w:val="04B604E0"/>
    <w:rsid w:val="04CE42F4"/>
    <w:rsid w:val="04D239AA"/>
    <w:rsid w:val="04EB6681"/>
    <w:rsid w:val="052238F1"/>
    <w:rsid w:val="05295E06"/>
    <w:rsid w:val="058A4BA6"/>
    <w:rsid w:val="06053772"/>
    <w:rsid w:val="067D42C5"/>
    <w:rsid w:val="06825BC8"/>
    <w:rsid w:val="07536EF0"/>
    <w:rsid w:val="07C136C9"/>
    <w:rsid w:val="081A317C"/>
    <w:rsid w:val="085D509A"/>
    <w:rsid w:val="085D5A38"/>
    <w:rsid w:val="08662BDA"/>
    <w:rsid w:val="0871260D"/>
    <w:rsid w:val="08C90A87"/>
    <w:rsid w:val="08D51E2B"/>
    <w:rsid w:val="08F024B8"/>
    <w:rsid w:val="093E76C7"/>
    <w:rsid w:val="0A4A1C71"/>
    <w:rsid w:val="0A640A8D"/>
    <w:rsid w:val="0A960A6B"/>
    <w:rsid w:val="0AD442C1"/>
    <w:rsid w:val="0B424B21"/>
    <w:rsid w:val="0B6E3E9B"/>
    <w:rsid w:val="0C30706F"/>
    <w:rsid w:val="0C317404"/>
    <w:rsid w:val="0C691C6B"/>
    <w:rsid w:val="0C950BBA"/>
    <w:rsid w:val="0CB04465"/>
    <w:rsid w:val="0CF74D52"/>
    <w:rsid w:val="0D603597"/>
    <w:rsid w:val="0DF5231E"/>
    <w:rsid w:val="0DFB6B7F"/>
    <w:rsid w:val="0E937FF7"/>
    <w:rsid w:val="0FE33DCD"/>
    <w:rsid w:val="108530A7"/>
    <w:rsid w:val="10AE015C"/>
    <w:rsid w:val="10B77E6D"/>
    <w:rsid w:val="10BB6702"/>
    <w:rsid w:val="10FF39B5"/>
    <w:rsid w:val="11336630"/>
    <w:rsid w:val="113E55BE"/>
    <w:rsid w:val="117F6ACF"/>
    <w:rsid w:val="118A126C"/>
    <w:rsid w:val="123F746C"/>
    <w:rsid w:val="130E1775"/>
    <w:rsid w:val="13570F7E"/>
    <w:rsid w:val="137F3D98"/>
    <w:rsid w:val="13BA5B9C"/>
    <w:rsid w:val="13F51A1C"/>
    <w:rsid w:val="14180FFC"/>
    <w:rsid w:val="15007F26"/>
    <w:rsid w:val="15BA3636"/>
    <w:rsid w:val="161404C8"/>
    <w:rsid w:val="16182089"/>
    <w:rsid w:val="17252589"/>
    <w:rsid w:val="17265757"/>
    <w:rsid w:val="17AE3C6A"/>
    <w:rsid w:val="17C57E8F"/>
    <w:rsid w:val="17E625C2"/>
    <w:rsid w:val="18542BF6"/>
    <w:rsid w:val="18814EDA"/>
    <w:rsid w:val="18CB1E1D"/>
    <w:rsid w:val="18EB43EE"/>
    <w:rsid w:val="198704A9"/>
    <w:rsid w:val="19915C39"/>
    <w:rsid w:val="19A13696"/>
    <w:rsid w:val="19BA76AA"/>
    <w:rsid w:val="1A0B6E3B"/>
    <w:rsid w:val="1A264176"/>
    <w:rsid w:val="1A766595"/>
    <w:rsid w:val="1A7D4B85"/>
    <w:rsid w:val="1B745D3C"/>
    <w:rsid w:val="1BD53553"/>
    <w:rsid w:val="1C037E84"/>
    <w:rsid w:val="1C0814D0"/>
    <w:rsid w:val="1D5D528E"/>
    <w:rsid w:val="1DA03128"/>
    <w:rsid w:val="1DBE2CC9"/>
    <w:rsid w:val="1DF41EBB"/>
    <w:rsid w:val="1E971126"/>
    <w:rsid w:val="1EE00BA0"/>
    <w:rsid w:val="1EEC20DC"/>
    <w:rsid w:val="1F012D73"/>
    <w:rsid w:val="1F5C4703"/>
    <w:rsid w:val="1FEA77EE"/>
    <w:rsid w:val="204D274A"/>
    <w:rsid w:val="2079293B"/>
    <w:rsid w:val="2092625E"/>
    <w:rsid w:val="209A3CD2"/>
    <w:rsid w:val="20A17B1B"/>
    <w:rsid w:val="210459B8"/>
    <w:rsid w:val="211F394C"/>
    <w:rsid w:val="22135B75"/>
    <w:rsid w:val="2226297A"/>
    <w:rsid w:val="22974636"/>
    <w:rsid w:val="2359040B"/>
    <w:rsid w:val="23A171D3"/>
    <w:rsid w:val="23EB1FFB"/>
    <w:rsid w:val="2422408F"/>
    <w:rsid w:val="243F6861"/>
    <w:rsid w:val="252E17BB"/>
    <w:rsid w:val="254C7941"/>
    <w:rsid w:val="255B1BC6"/>
    <w:rsid w:val="256736AA"/>
    <w:rsid w:val="256B3C9A"/>
    <w:rsid w:val="260D5FFF"/>
    <w:rsid w:val="261969C0"/>
    <w:rsid w:val="265E1A78"/>
    <w:rsid w:val="273121C1"/>
    <w:rsid w:val="27D96F86"/>
    <w:rsid w:val="27E17743"/>
    <w:rsid w:val="288E4399"/>
    <w:rsid w:val="289D0900"/>
    <w:rsid w:val="28B9453D"/>
    <w:rsid w:val="2936586D"/>
    <w:rsid w:val="295E35EE"/>
    <w:rsid w:val="299A14B8"/>
    <w:rsid w:val="29E96D83"/>
    <w:rsid w:val="29EE2B1E"/>
    <w:rsid w:val="2A2C7042"/>
    <w:rsid w:val="2A97058D"/>
    <w:rsid w:val="2A994305"/>
    <w:rsid w:val="2B2B3391"/>
    <w:rsid w:val="2BF37A45"/>
    <w:rsid w:val="2C392CFB"/>
    <w:rsid w:val="2C4B74B9"/>
    <w:rsid w:val="2C7824B8"/>
    <w:rsid w:val="2C7C5C8D"/>
    <w:rsid w:val="2C840FE5"/>
    <w:rsid w:val="2C971B37"/>
    <w:rsid w:val="2D0637CB"/>
    <w:rsid w:val="2D186643"/>
    <w:rsid w:val="2D256324"/>
    <w:rsid w:val="2D7E3C6F"/>
    <w:rsid w:val="2D8079FF"/>
    <w:rsid w:val="2DF45BAB"/>
    <w:rsid w:val="2DFC6DA8"/>
    <w:rsid w:val="2E1E06B9"/>
    <w:rsid w:val="2EB95B8D"/>
    <w:rsid w:val="2EC31307"/>
    <w:rsid w:val="2EED420A"/>
    <w:rsid w:val="2FB06ABD"/>
    <w:rsid w:val="2FF16036"/>
    <w:rsid w:val="30002531"/>
    <w:rsid w:val="30FA1876"/>
    <w:rsid w:val="31AE7611"/>
    <w:rsid w:val="31C33E28"/>
    <w:rsid w:val="31CD1F13"/>
    <w:rsid w:val="31CD6F8B"/>
    <w:rsid w:val="31E87920"/>
    <w:rsid w:val="326F1DF0"/>
    <w:rsid w:val="33AB19A1"/>
    <w:rsid w:val="33ED0FA4"/>
    <w:rsid w:val="349A34DB"/>
    <w:rsid w:val="350C0143"/>
    <w:rsid w:val="35167599"/>
    <w:rsid w:val="358856A2"/>
    <w:rsid w:val="358F6F80"/>
    <w:rsid w:val="35A2652B"/>
    <w:rsid w:val="35AA2525"/>
    <w:rsid w:val="36343134"/>
    <w:rsid w:val="36EE7787"/>
    <w:rsid w:val="373D6C80"/>
    <w:rsid w:val="37666470"/>
    <w:rsid w:val="379E4EE8"/>
    <w:rsid w:val="37DA2CD3"/>
    <w:rsid w:val="380940FC"/>
    <w:rsid w:val="38831C04"/>
    <w:rsid w:val="38B15D8D"/>
    <w:rsid w:val="38C26FCA"/>
    <w:rsid w:val="38EE3475"/>
    <w:rsid w:val="39877F1F"/>
    <w:rsid w:val="3AA07E59"/>
    <w:rsid w:val="3ABD411D"/>
    <w:rsid w:val="3AE84675"/>
    <w:rsid w:val="3B3103B6"/>
    <w:rsid w:val="3BA00474"/>
    <w:rsid w:val="3BA548E8"/>
    <w:rsid w:val="3C111A19"/>
    <w:rsid w:val="3D615EC3"/>
    <w:rsid w:val="3DB76351"/>
    <w:rsid w:val="3DCF2C73"/>
    <w:rsid w:val="3E0456CC"/>
    <w:rsid w:val="3E1C6E8A"/>
    <w:rsid w:val="3EFF4804"/>
    <w:rsid w:val="3F135889"/>
    <w:rsid w:val="3F740A45"/>
    <w:rsid w:val="402E3A57"/>
    <w:rsid w:val="411424E0"/>
    <w:rsid w:val="412B2133"/>
    <w:rsid w:val="41B31B93"/>
    <w:rsid w:val="42415A41"/>
    <w:rsid w:val="4278399C"/>
    <w:rsid w:val="435C1F1C"/>
    <w:rsid w:val="43911EEB"/>
    <w:rsid w:val="45034073"/>
    <w:rsid w:val="4517259F"/>
    <w:rsid w:val="45BE5803"/>
    <w:rsid w:val="46607F75"/>
    <w:rsid w:val="46731A57"/>
    <w:rsid w:val="468E2DF0"/>
    <w:rsid w:val="47777325"/>
    <w:rsid w:val="477828A6"/>
    <w:rsid w:val="485C5346"/>
    <w:rsid w:val="486C2146"/>
    <w:rsid w:val="48D25ED1"/>
    <w:rsid w:val="492E6109"/>
    <w:rsid w:val="4A1E7F2C"/>
    <w:rsid w:val="4AED5861"/>
    <w:rsid w:val="4B6A71C8"/>
    <w:rsid w:val="4B785D69"/>
    <w:rsid w:val="4BBC7EBE"/>
    <w:rsid w:val="4BE25B8D"/>
    <w:rsid w:val="4C54555A"/>
    <w:rsid w:val="4C632C63"/>
    <w:rsid w:val="4CCF7D94"/>
    <w:rsid w:val="4D4F1574"/>
    <w:rsid w:val="4D873744"/>
    <w:rsid w:val="4E4174EA"/>
    <w:rsid w:val="4F193AFC"/>
    <w:rsid w:val="4F9326B9"/>
    <w:rsid w:val="4FA7753C"/>
    <w:rsid w:val="50353F16"/>
    <w:rsid w:val="5075308D"/>
    <w:rsid w:val="50E23A41"/>
    <w:rsid w:val="50EB16C1"/>
    <w:rsid w:val="51640797"/>
    <w:rsid w:val="51A70A76"/>
    <w:rsid w:val="521B61D4"/>
    <w:rsid w:val="529F2C8A"/>
    <w:rsid w:val="52A36879"/>
    <w:rsid w:val="52F74381"/>
    <w:rsid w:val="52F92B19"/>
    <w:rsid w:val="538C4198"/>
    <w:rsid w:val="544662D1"/>
    <w:rsid w:val="54586543"/>
    <w:rsid w:val="54722618"/>
    <w:rsid w:val="54AB5C18"/>
    <w:rsid w:val="54D74114"/>
    <w:rsid w:val="55216D61"/>
    <w:rsid w:val="554F6418"/>
    <w:rsid w:val="556A7500"/>
    <w:rsid w:val="558319C8"/>
    <w:rsid w:val="55C37BD9"/>
    <w:rsid w:val="55ED318A"/>
    <w:rsid w:val="564D1333"/>
    <w:rsid w:val="567B29ED"/>
    <w:rsid w:val="56A372C2"/>
    <w:rsid w:val="56C708EE"/>
    <w:rsid w:val="570F1328"/>
    <w:rsid w:val="57485060"/>
    <w:rsid w:val="574F4B46"/>
    <w:rsid w:val="5750190B"/>
    <w:rsid w:val="57512AED"/>
    <w:rsid w:val="57CB482C"/>
    <w:rsid w:val="582E04E2"/>
    <w:rsid w:val="585E53A5"/>
    <w:rsid w:val="58B804A7"/>
    <w:rsid w:val="58E22142"/>
    <w:rsid w:val="59485E82"/>
    <w:rsid w:val="59723D50"/>
    <w:rsid w:val="598900F2"/>
    <w:rsid w:val="5AA61FA3"/>
    <w:rsid w:val="5AC24977"/>
    <w:rsid w:val="5CBB101A"/>
    <w:rsid w:val="5CC2663A"/>
    <w:rsid w:val="5D493206"/>
    <w:rsid w:val="5D6F7A58"/>
    <w:rsid w:val="5D8D744A"/>
    <w:rsid w:val="5D9E0A8E"/>
    <w:rsid w:val="5E0771FD"/>
    <w:rsid w:val="5F021772"/>
    <w:rsid w:val="5F255D69"/>
    <w:rsid w:val="5F432B45"/>
    <w:rsid w:val="60D94755"/>
    <w:rsid w:val="60E17630"/>
    <w:rsid w:val="60F2782E"/>
    <w:rsid w:val="61386D25"/>
    <w:rsid w:val="61814C13"/>
    <w:rsid w:val="62333297"/>
    <w:rsid w:val="62B90983"/>
    <w:rsid w:val="62C75F9B"/>
    <w:rsid w:val="62DC5F40"/>
    <w:rsid w:val="62EE44E7"/>
    <w:rsid w:val="62F82F22"/>
    <w:rsid w:val="630F17D8"/>
    <w:rsid w:val="632B7770"/>
    <w:rsid w:val="63471E49"/>
    <w:rsid w:val="637F5749"/>
    <w:rsid w:val="63C2610D"/>
    <w:rsid w:val="63C9325A"/>
    <w:rsid w:val="64A77044"/>
    <w:rsid w:val="64D831E6"/>
    <w:rsid w:val="64EA54D2"/>
    <w:rsid w:val="653B6D24"/>
    <w:rsid w:val="657D3011"/>
    <w:rsid w:val="65FD318C"/>
    <w:rsid w:val="66A21CEA"/>
    <w:rsid w:val="66AE1BA0"/>
    <w:rsid w:val="66F818FB"/>
    <w:rsid w:val="679C0226"/>
    <w:rsid w:val="67F30197"/>
    <w:rsid w:val="68255344"/>
    <w:rsid w:val="68D62580"/>
    <w:rsid w:val="68E34F08"/>
    <w:rsid w:val="69214FBE"/>
    <w:rsid w:val="694E0D13"/>
    <w:rsid w:val="69E77B0D"/>
    <w:rsid w:val="69ED3B18"/>
    <w:rsid w:val="6A4D7BF3"/>
    <w:rsid w:val="6A53447E"/>
    <w:rsid w:val="6A9811DC"/>
    <w:rsid w:val="6AAE3F86"/>
    <w:rsid w:val="6AE52674"/>
    <w:rsid w:val="6B01589B"/>
    <w:rsid w:val="6B6D29CC"/>
    <w:rsid w:val="6B7845E0"/>
    <w:rsid w:val="6C663887"/>
    <w:rsid w:val="6D233C50"/>
    <w:rsid w:val="6D583CC9"/>
    <w:rsid w:val="6D5F15C9"/>
    <w:rsid w:val="6D855A48"/>
    <w:rsid w:val="6E1B3FDF"/>
    <w:rsid w:val="6E3B20F7"/>
    <w:rsid w:val="6E5B2C4D"/>
    <w:rsid w:val="6EA50F15"/>
    <w:rsid w:val="6EC64319"/>
    <w:rsid w:val="6F073538"/>
    <w:rsid w:val="6F1C23DC"/>
    <w:rsid w:val="6F1D15BF"/>
    <w:rsid w:val="6F59480F"/>
    <w:rsid w:val="6F616041"/>
    <w:rsid w:val="6FDD7DBD"/>
    <w:rsid w:val="704F50FD"/>
    <w:rsid w:val="70D32F6E"/>
    <w:rsid w:val="70DA42FD"/>
    <w:rsid w:val="715300CA"/>
    <w:rsid w:val="71631801"/>
    <w:rsid w:val="71C92D3B"/>
    <w:rsid w:val="71E45191"/>
    <w:rsid w:val="72420985"/>
    <w:rsid w:val="72C70C29"/>
    <w:rsid w:val="72FC52BF"/>
    <w:rsid w:val="735F40D6"/>
    <w:rsid w:val="74084178"/>
    <w:rsid w:val="742A3BBB"/>
    <w:rsid w:val="74964153"/>
    <w:rsid w:val="752175BA"/>
    <w:rsid w:val="75D615E0"/>
    <w:rsid w:val="75F0310B"/>
    <w:rsid w:val="75F34F11"/>
    <w:rsid w:val="760630B0"/>
    <w:rsid w:val="76AF7FDA"/>
    <w:rsid w:val="770A4EDC"/>
    <w:rsid w:val="77644920"/>
    <w:rsid w:val="7770053A"/>
    <w:rsid w:val="787A3217"/>
    <w:rsid w:val="7899684C"/>
    <w:rsid w:val="78B0289F"/>
    <w:rsid w:val="78B517E1"/>
    <w:rsid w:val="78D14FC6"/>
    <w:rsid w:val="795D3D1D"/>
    <w:rsid w:val="79763919"/>
    <w:rsid w:val="79817A0B"/>
    <w:rsid w:val="79CB2893"/>
    <w:rsid w:val="79CC7F63"/>
    <w:rsid w:val="79E11C7D"/>
    <w:rsid w:val="7A073617"/>
    <w:rsid w:val="7A173AE4"/>
    <w:rsid w:val="7B431D92"/>
    <w:rsid w:val="7B591AF4"/>
    <w:rsid w:val="7B890DF9"/>
    <w:rsid w:val="7B95754E"/>
    <w:rsid w:val="7BC474F6"/>
    <w:rsid w:val="7C574A54"/>
    <w:rsid w:val="7D524288"/>
    <w:rsid w:val="7DC93C6B"/>
    <w:rsid w:val="7DDA3B8E"/>
    <w:rsid w:val="7E4A0D41"/>
    <w:rsid w:val="7EA45F4A"/>
    <w:rsid w:val="7F020B7F"/>
    <w:rsid w:val="7F1F1620"/>
    <w:rsid w:val="7F8972B5"/>
    <w:rsid w:val="7FB01671"/>
    <w:rsid w:val="7FCD07F9"/>
    <w:rsid w:val="7FF058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qFormat="1" w:unhideWhenUsed="0" w:uiPriority="0" w:semiHidden="0" w:name="Body Text Indent 2"/>
    <w:lsdException w:qFormat="1"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tabs>
        <w:tab w:val="left" w:pos="2070"/>
      </w:tabs>
      <w:adjustRightInd w:val="0"/>
      <w:spacing w:line="360" w:lineRule="auto"/>
      <w:ind w:left="2070" w:hanging="420"/>
      <w:textAlignment w:val="baseline"/>
      <w:outlineLvl w:val="0"/>
    </w:pPr>
    <w:rPr>
      <w:rFonts w:ascii="楷体_GB2312" w:eastAsia="楷体_GB2312"/>
      <w:kern w:val="0"/>
      <w:sz w:val="28"/>
    </w:rPr>
  </w:style>
  <w:style w:type="paragraph" w:styleId="3">
    <w:name w:val="heading 2"/>
    <w:basedOn w:val="1"/>
    <w:next w:val="1"/>
    <w:link w:val="73"/>
    <w:qFormat/>
    <w:uiPriority w:val="0"/>
    <w:pPr>
      <w:keepNext/>
      <w:keepLines/>
      <w:spacing w:before="260" w:after="260" w:line="415" w:lineRule="auto"/>
      <w:jc w:val="center"/>
      <w:outlineLvl w:val="1"/>
    </w:pPr>
    <w:rPr>
      <w:rFonts w:ascii="Arial" w:hAnsi="Arial" w:eastAsia="黑体"/>
      <w:b/>
      <w:bCs/>
      <w:sz w:val="36"/>
      <w:szCs w:val="32"/>
    </w:rPr>
  </w:style>
  <w:style w:type="paragraph" w:styleId="4">
    <w:name w:val="heading 3"/>
    <w:basedOn w:val="1"/>
    <w:next w:val="1"/>
    <w:qFormat/>
    <w:uiPriority w:val="0"/>
    <w:pPr>
      <w:keepNext/>
      <w:keepLines/>
      <w:spacing w:before="260" w:after="260" w:line="415" w:lineRule="auto"/>
      <w:outlineLvl w:val="2"/>
    </w:pPr>
    <w:rPr>
      <w:b/>
      <w:bCs/>
      <w:sz w:val="32"/>
      <w:szCs w:val="32"/>
    </w:rPr>
  </w:style>
  <w:style w:type="paragraph" w:styleId="5">
    <w:name w:val="heading 4"/>
    <w:basedOn w:val="1"/>
    <w:next w:val="1"/>
    <w:qFormat/>
    <w:uiPriority w:val="0"/>
    <w:pPr>
      <w:keepNext/>
      <w:keepLines/>
      <w:spacing w:before="280" w:after="290" w:line="360" w:lineRule="auto"/>
      <w:ind w:firstLine="200" w:firstLineChars="200"/>
      <w:outlineLvl w:val="3"/>
    </w:pPr>
    <w:rPr>
      <w:bCs/>
      <w:sz w:val="24"/>
      <w:szCs w:val="28"/>
    </w:rPr>
  </w:style>
  <w:style w:type="paragraph" w:styleId="6">
    <w:name w:val="heading 5"/>
    <w:basedOn w:val="1"/>
    <w:next w:val="1"/>
    <w:qFormat/>
    <w:uiPriority w:val="0"/>
    <w:pPr>
      <w:keepNext/>
      <w:keepLines/>
      <w:spacing w:before="280" w:after="290" w:line="374" w:lineRule="auto"/>
      <w:jc w:val="left"/>
      <w:outlineLvl w:val="4"/>
    </w:pPr>
    <w:rPr>
      <w:rFonts w:ascii="宋体" w:hAnsi="宋体"/>
      <w:b/>
      <w:bCs/>
      <w:sz w:val="28"/>
      <w:szCs w:val="28"/>
    </w:rPr>
  </w:style>
  <w:style w:type="paragraph" w:styleId="7">
    <w:name w:val="heading 6"/>
    <w:basedOn w:val="1"/>
    <w:next w:val="1"/>
    <w:qFormat/>
    <w:uiPriority w:val="0"/>
    <w:pPr>
      <w:keepNext/>
      <w:keepLines/>
      <w:spacing w:before="240" w:after="64" w:line="319" w:lineRule="auto"/>
      <w:jc w:val="left"/>
      <w:outlineLvl w:val="5"/>
    </w:pPr>
    <w:rPr>
      <w:rFonts w:ascii="Arial" w:hAnsi="Arial" w:eastAsia="黑体"/>
      <w:b/>
      <w:bCs/>
      <w:sz w:val="24"/>
      <w:szCs w:val="24"/>
    </w:rPr>
  </w:style>
  <w:style w:type="paragraph" w:styleId="8">
    <w:name w:val="heading 7"/>
    <w:basedOn w:val="1"/>
    <w:next w:val="1"/>
    <w:qFormat/>
    <w:uiPriority w:val="0"/>
    <w:pPr>
      <w:keepNext/>
      <w:keepLines/>
      <w:spacing w:before="240" w:after="64" w:line="319" w:lineRule="auto"/>
      <w:jc w:val="left"/>
      <w:outlineLvl w:val="6"/>
    </w:pPr>
    <w:rPr>
      <w:rFonts w:ascii="宋体" w:hAnsi="宋体"/>
      <w:b/>
      <w:bCs/>
      <w:sz w:val="24"/>
      <w:szCs w:val="24"/>
    </w:rPr>
  </w:style>
  <w:style w:type="paragraph" w:styleId="9">
    <w:name w:val="heading 8"/>
    <w:basedOn w:val="1"/>
    <w:next w:val="1"/>
    <w:qFormat/>
    <w:uiPriority w:val="0"/>
    <w:pPr>
      <w:keepNext/>
      <w:keepLines/>
      <w:spacing w:before="240" w:after="64" w:line="319" w:lineRule="auto"/>
      <w:jc w:val="left"/>
      <w:outlineLvl w:val="7"/>
    </w:pPr>
    <w:rPr>
      <w:rFonts w:ascii="Arial" w:hAnsi="Arial" w:eastAsia="黑体"/>
      <w:sz w:val="24"/>
      <w:szCs w:val="24"/>
    </w:rPr>
  </w:style>
  <w:style w:type="paragraph" w:styleId="10">
    <w:name w:val="heading 9"/>
    <w:basedOn w:val="1"/>
    <w:next w:val="1"/>
    <w:qFormat/>
    <w:uiPriority w:val="0"/>
    <w:pPr>
      <w:keepNext/>
      <w:keepLines/>
      <w:spacing w:before="240" w:after="64" w:line="319" w:lineRule="auto"/>
      <w:jc w:val="left"/>
      <w:outlineLvl w:val="8"/>
    </w:pPr>
    <w:rPr>
      <w:rFonts w:ascii="Arial" w:hAnsi="Arial"/>
      <w:sz w:val="28"/>
      <w:szCs w:val="21"/>
    </w:rPr>
  </w:style>
  <w:style w:type="character" w:default="1" w:styleId="53">
    <w:name w:val="Default Paragraph Font"/>
    <w:semiHidden/>
    <w:unhideWhenUsed/>
    <w:qFormat/>
    <w:uiPriority w:val="1"/>
  </w:style>
  <w:style w:type="table" w:default="1" w:styleId="51">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qFormat/>
    <w:uiPriority w:val="0"/>
    <w:pPr>
      <w:ind w:left="2520" w:leftChars="1200"/>
    </w:pPr>
  </w:style>
  <w:style w:type="paragraph" w:styleId="12">
    <w:name w:val="index 8"/>
    <w:basedOn w:val="1"/>
    <w:next w:val="1"/>
    <w:qFormat/>
    <w:uiPriority w:val="0"/>
    <w:pPr>
      <w:spacing w:line="360" w:lineRule="auto"/>
      <w:ind w:left="1400" w:leftChars="1400" w:firstLine="200" w:firstLineChars="200"/>
    </w:pPr>
    <w:rPr>
      <w:sz w:val="24"/>
      <w:szCs w:val="24"/>
    </w:rPr>
  </w:style>
  <w:style w:type="paragraph" w:styleId="13">
    <w:name w:val="Normal Indent"/>
    <w:basedOn w:val="1"/>
    <w:qFormat/>
    <w:uiPriority w:val="0"/>
    <w:pPr>
      <w:adjustRightInd w:val="0"/>
      <w:spacing w:line="312" w:lineRule="atLeast"/>
      <w:ind w:firstLine="420"/>
      <w:textAlignment w:val="baseline"/>
    </w:pPr>
    <w:rPr>
      <w:kern w:val="0"/>
    </w:rPr>
  </w:style>
  <w:style w:type="paragraph" w:styleId="14">
    <w:name w:val="index 5"/>
    <w:basedOn w:val="1"/>
    <w:next w:val="1"/>
    <w:qFormat/>
    <w:uiPriority w:val="0"/>
    <w:pPr>
      <w:spacing w:line="360" w:lineRule="auto"/>
      <w:ind w:left="800" w:leftChars="800" w:firstLine="200" w:firstLineChars="200"/>
    </w:pPr>
    <w:rPr>
      <w:sz w:val="24"/>
      <w:szCs w:val="24"/>
    </w:rPr>
  </w:style>
  <w:style w:type="paragraph" w:styleId="15">
    <w:name w:val="annotation text"/>
    <w:basedOn w:val="1"/>
    <w:link w:val="108"/>
    <w:qFormat/>
    <w:uiPriority w:val="0"/>
    <w:pPr>
      <w:spacing w:line="360" w:lineRule="auto"/>
      <w:ind w:firstLine="200" w:firstLineChars="200"/>
      <w:jc w:val="left"/>
    </w:pPr>
    <w:rPr>
      <w:sz w:val="24"/>
      <w:szCs w:val="24"/>
    </w:rPr>
  </w:style>
  <w:style w:type="paragraph" w:styleId="16">
    <w:name w:val="index 6"/>
    <w:basedOn w:val="1"/>
    <w:next w:val="1"/>
    <w:qFormat/>
    <w:uiPriority w:val="0"/>
    <w:pPr>
      <w:spacing w:line="360" w:lineRule="auto"/>
      <w:ind w:left="1000" w:leftChars="1000" w:firstLine="200" w:firstLineChars="200"/>
    </w:pPr>
    <w:rPr>
      <w:sz w:val="24"/>
      <w:szCs w:val="24"/>
    </w:rPr>
  </w:style>
  <w:style w:type="paragraph" w:styleId="17">
    <w:name w:val="Body Text"/>
    <w:basedOn w:val="1"/>
    <w:next w:val="18"/>
    <w:link w:val="59"/>
    <w:qFormat/>
    <w:uiPriority w:val="0"/>
    <w:pPr>
      <w:spacing w:line="360" w:lineRule="auto"/>
    </w:pPr>
    <w:rPr>
      <w:spacing w:val="20"/>
      <w:sz w:val="28"/>
    </w:rPr>
  </w:style>
  <w:style w:type="paragraph" w:customStyle="1" w:styleId="18">
    <w:name w:val="Default"/>
    <w:qFormat/>
    <w:uiPriority w:val="0"/>
    <w:pPr>
      <w:widowControl w:val="0"/>
      <w:autoSpaceDE w:val="0"/>
      <w:autoSpaceDN w:val="0"/>
      <w:adjustRightInd w:val="0"/>
    </w:pPr>
    <w:rPr>
      <w:rFonts w:ascii="黑体" w:hAnsi="Times New Roman" w:eastAsia="黑体" w:cs="黑体"/>
      <w:color w:val="000000"/>
      <w:sz w:val="24"/>
      <w:szCs w:val="24"/>
      <w:lang w:val="en-US" w:eastAsia="zh-CN" w:bidi="ar-SA"/>
    </w:rPr>
  </w:style>
  <w:style w:type="paragraph" w:styleId="19">
    <w:name w:val="Body Text Indent"/>
    <w:basedOn w:val="1"/>
    <w:link w:val="61"/>
    <w:qFormat/>
    <w:uiPriority w:val="0"/>
    <w:pPr>
      <w:tabs>
        <w:tab w:val="left" w:pos="8715"/>
      </w:tabs>
      <w:spacing w:line="360" w:lineRule="auto"/>
      <w:ind w:firstLine="732"/>
    </w:pPr>
    <w:rPr>
      <w:rFonts w:ascii="楷体_GB2312" w:eastAsia="楷体_GB2312"/>
      <w:spacing w:val="20"/>
      <w:sz w:val="24"/>
    </w:rPr>
  </w:style>
  <w:style w:type="paragraph" w:styleId="20">
    <w:name w:val="index 4"/>
    <w:basedOn w:val="1"/>
    <w:next w:val="1"/>
    <w:qFormat/>
    <w:uiPriority w:val="0"/>
    <w:pPr>
      <w:spacing w:line="360" w:lineRule="auto"/>
      <w:ind w:left="600" w:leftChars="600" w:firstLine="200" w:firstLineChars="200"/>
    </w:pPr>
    <w:rPr>
      <w:sz w:val="24"/>
      <w:szCs w:val="24"/>
    </w:rPr>
  </w:style>
  <w:style w:type="paragraph" w:styleId="21">
    <w:name w:val="toc 5"/>
    <w:basedOn w:val="1"/>
    <w:next w:val="1"/>
    <w:qFormat/>
    <w:uiPriority w:val="0"/>
    <w:pPr>
      <w:ind w:left="1680" w:leftChars="800"/>
    </w:pPr>
  </w:style>
  <w:style w:type="paragraph" w:styleId="22">
    <w:name w:val="toc 3"/>
    <w:basedOn w:val="1"/>
    <w:next w:val="1"/>
    <w:qFormat/>
    <w:uiPriority w:val="0"/>
    <w:pPr>
      <w:ind w:left="840" w:leftChars="400"/>
    </w:pPr>
  </w:style>
  <w:style w:type="paragraph" w:styleId="23">
    <w:name w:val="Plain Text"/>
    <w:basedOn w:val="1"/>
    <w:link w:val="60"/>
    <w:qFormat/>
    <w:uiPriority w:val="0"/>
    <w:rPr>
      <w:rFonts w:ascii="宋体" w:hAnsi="Courier New" w:cs="Courier New"/>
      <w:szCs w:val="21"/>
    </w:rPr>
  </w:style>
  <w:style w:type="paragraph" w:styleId="24">
    <w:name w:val="toc 8"/>
    <w:basedOn w:val="1"/>
    <w:next w:val="1"/>
    <w:qFormat/>
    <w:uiPriority w:val="0"/>
    <w:pPr>
      <w:ind w:left="2940" w:leftChars="1400"/>
    </w:pPr>
  </w:style>
  <w:style w:type="paragraph" w:styleId="25">
    <w:name w:val="index 3"/>
    <w:basedOn w:val="1"/>
    <w:next w:val="1"/>
    <w:qFormat/>
    <w:uiPriority w:val="0"/>
    <w:pPr>
      <w:spacing w:line="360" w:lineRule="auto"/>
      <w:ind w:left="400" w:leftChars="400" w:firstLine="200" w:firstLineChars="200"/>
    </w:pPr>
    <w:rPr>
      <w:sz w:val="24"/>
      <w:szCs w:val="24"/>
    </w:rPr>
  </w:style>
  <w:style w:type="paragraph" w:styleId="26">
    <w:name w:val="Date"/>
    <w:basedOn w:val="1"/>
    <w:next w:val="1"/>
    <w:qFormat/>
    <w:uiPriority w:val="0"/>
    <w:rPr>
      <w:rFonts w:ascii="仿宋_GB2312" w:eastAsia="仿宋_GB2312"/>
      <w:kern w:val="0"/>
      <w:sz w:val="28"/>
    </w:rPr>
  </w:style>
  <w:style w:type="paragraph" w:styleId="27">
    <w:name w:val="Body Text Indent 2"/>
    <w:basedOn w:val="1"/>
    <w:link w:val="62"/>
    <w:qFormat/>
    <w:uiPriority w:val="0"/>
    <w:pPr>
      <w:spacing w:line="360" w:lineRule="auto"/>
      <w:ind w:left="420"/>
    </w:pPr>
    <w:rPr>
      <w:rFonts w:ascii="楷体_GB2312" w:eastAsia="楷体_GB2312"/>
      <w:spacing w:val="20"/>
      <w:sz w:val="24"/>
    </w:rPr>
  </w:style>
  <w:style w:type="paragraph" w:styleId="28">
    <w:name w:val="Balloon Text"/>
    <w:basedOn w:val="1"/>
    <w:qFormat/>
    <w:uiPriority w:val="0"/>
    <w:rPr>
      <w:sz w:val="18"/>
      <w:szCs w:val="18"/>
    </w:rPr>
  </w:style>
  <w:style w:type="paragraph" w:styleId="29">
    <w:name w:val="footer"/>
    <w:basedOn w:val="1"/>
    <w:qFormat/>
    <w:uiPriority w:val="0"/>
    <w:pPr>
      <w:tabs>
        <w:tab w:val="center" w:pos="4153"/>
        <w:tab w:val="right" w:pos="8306"/>
      </w:tabs>
      <w:snapToGrid w:val="0"/>
      <w:jc w:val="left"/>
    </w:pPr>
    <w:rPr>
      <w:sz w:val="18"/>
    </w:rPr>
  </w:style>
  <w:style w:type="paragraph" w:styleId="30">
    <w:name w:val="header"/>
    <w:basedOn w:val="1"/>
    <w:qFormat/>
    <w:uiPriority w:val="0"/>
    <w:pPr>
      <w:pBdr>
        <w:bottom w:val="single" w:color="auto" w:sz="6" w:space="1"/>
      </w:pBdr>
      <w:tabs>
        <w:tab w:val="center" w:pos="4153"/>
        <w:tab w:val="right" w:pos="8306"/>
      </w:tabs>
      <w:snapToGrid w:val="0"/>
      <w:jc w:val="center"/>
    </w:pPr>
    <w:rPr>
      <w:sz w:val="18"/>
    </w:rPr>
  </w:style>
  <w:style w:type="paragraph" w:styleId="31">
    <w:name w:val="toc 1"/>
    <w:basedOn w:val="1"/>
    <w:next w:val="1"/>
    <w:qFormat/>
    <w:uiPriority w:val="39"/>
  </w:style>
  <w:style w:type="paragraph" w:styleId="32">
    <w:name w:val="toc 4"/>
    <w:basedOn w:val="1"/>
    <w:next w:val="1"/>
    <w:qFormat/>
    <w:uiPriority w:val="0"/>
    <w:pPr>
      <w:ind w:left="1260" w:leftChars="600"/>
    </w:pPr>
  </w:style>
  <w:style w:type="paragraph" w:styleId="33">
    <w:name w:val="index heading"/>
    <w:basedOn w:val="1"/>
    <w:next w:val="34"/>
    <w:qFormat/>
    <w:uiPriority w:val="0"/>
    <w:pPr>
      <w:spacing w:line="360" w:lineRule="auto"/>
      <w:ind w:firstLine="200" w:firstLineChars="200"/>
    </w:pPr>
    <w:rPr>
      <w:sz w:val="24"/>
      <w:szCs w:val="24"/>
    </w:rPr>
  </w:style>
  <w:style w:type="paragraph" w:styleId="34">
    <w:name w:val="index 1"/>
    <w:basedOn w:val="1"/>
    <w:next w:val="1"/>
    <w:qFormat/>
    <w:uiPriority w:val="0"/>
    <w:pPr>
      <w:spacing w:line="360" w:lineRule="auto"/>
      <w:ind w:firstLine="200" w:firstLineChars="200"/>
    </w:pPr>
    <w:rPr>
      <w:sz w:val="24"/>
      <w:szCs w:val="24"/>
    </w:rPr>
  </w:style>
  <w:style w:type="paragraph" w:styleId="35">
    <w:name w:val="List"/>
    <w:basedOn w:val="1"/>
    <w:qFormat/>
    <w:uiPriority w:val="0"/>
    <w:pPr>
      <w:adjustRightInd w:val="0"/>
      <w:ind w:left="420" w:hanging="420"/>
      <w:textAlignment w:val="baseline"/>
    </w:pPr>
    <w:rPr>
      <w:sz w:val="28"/>
      <w:lang w:bidi="he-IL"/>
    </w:rPr>
  </w:style>
  <w:style w:type="paragraph" w:styleId="36">
    <w:name w:val="footnote text"/>
    <w:basedOn w:val="1"/>
    <w:qFormat/>
    <w:uiPriority w:val="0"/>
    <w:pPr>
      <w:snapToGrid w:val="0"/>
      <w:jc w:val="left"/>
    </w:pPr>
    <w:rPr>
      <w:sz w:val="18"/>
    </w:rPr>
  </w:style>
  <w:style w:type="paragraph" w:styleId="37">
    <w:name w:val="toc 6"/>
    <w:basedOn w:val="1"/>
    <w:next w:val="1"/>
    <w:qFormat/>
    <w:uiPriority w:val="0"/>
    <w:pPr>
      <w:ind w:left="2100" w:leftChars="1000"/>
    </w:pPr>
  </w:style>
  <w:style w:type="paragraph" w:styleId="38">
    <w:name w:val="Body Text Indent 3"/>
    <w:basedOn w:val="1"/>
    <w:qFormat/>
    <w:uiPriority w:val="0"/>
    <w:pPr>
      <w:spacing w:line="360" w:lineRule="auto"/>
      <w:ind w:left="420" w:firstLine="732"/>
    </w:pPr>
    <w:rPr>
      <w:rFonts w:ascii="楷体_GB2312" w:eastAsia="楷体_GB2312"/>
      <w:spacing w:val="20"/>
      <w:sz w:val="28"/>
    </w:rPr>
  </w:style>
  <w:style w:type="paragraph" w:styleId="39">
    <w:name w:val="index 7"/>
    <w:basedOn w:val="1"/>
    <w:next w:val="1"/>
    <w:qFormat/>
    <w:uiPriority w:val="0"/>
    <w:pPr>
      <w:spacing w:line="360" w:lineRule="auto"/>
      <w:ind w:left="1200" w:leftChars="1200" w:firstLine="200" w:firstLineChars="200"/>
    </w:pPr>
    <w:rPr>
      <w:sz w:val="24"/>
      <w:szCs w:val="24"/>
    </w:rPr>
  </w:style>
  <w:style w:type="paragraph" w:styleId="40">
    <w:name w:val="index 9"/>
    <w:basedOn w:val="1"/>
    <w:next w:val="1"/>
    <w:qFormat/>
    <w:uiPriority w:val="0"/>
    <w:pPr>
      <w:spacing w:line="360" w:lineRule="auto"/>
      <w:ind w:left="1600" w:leftChars="1600" w:firstLine="200" w:firstLineChars="200"/>
    </w:pPr>
    <w:rPr>
      <w:sz w:val="24"/>
      <w:szCs w:val="24"/>
    </w:rPr>
  </w:style>
  <w:style w:type="paragraph" w:styleId="41">
    <w:name w:val="table of figures"/>
    <w:basedOn w:val="1"/>
    <w:next w:val="1"/>
    <w:qFormat/>
    <w:uiPriority w:val="0"/>
    <w:pPr>
      <w:spacing w:line="360" w:lineRule="auto"/>
      <w:ind w:left="840" w:leftChars="200" w:hanging="420" w:hangingChars="200"/>
    </w:pPr>
    <w:rPr>
      <w:sz w:val="24"/>
      <w:szCs w:val="24"/>
    </w:rPr>
  </w:style>
  <w:style w:type="paragraph" w:styleId="42">
    <w:name w:val="toc 2"/>
    <w:basedOn w:val="1"/>
    <w:next w:val="1"/>
    <w:qFormat/>
    <w:uiPriority w:val="39"/>
    <w:pPr>
      <w:ind w:left="420" w:leftChars="200"/>
    </w:pPr>
  </w:style>
  <w:style w:type="paragraph" w:styleId="43">
    <w:name w:val="toc 9"/>
    <w:basedOn w:val="1"/>
    <w:next w:val="1"/>
    <w:qFormat/>
    <w:uiPriority w:val="0"/>
    <w:pPr>
      <w:ind w:left="3360" w:leftChars="1600"/>
    </w:pPr>
  </w:style>
  <w:style w:type="paragraph" w:styleId="44">
    <w:name w:val="Body Text 2"/>
    <w:basedOn w:val="1"/>
    <w:qFormat/>
    <w:uiPriority w:val="0"/>
    <w:pPr>
      <w:adjustRightInd w:val="0"/>
      <w:snapToGrid w:val="0"/>
      <w:spacing w:line="360" w:lineRule="auto"/>
    </w:pPr>
    <w:rPr>
      <w:rFonts w:ascii="宋体" w:hAnsi="宋体"/>
      <w:w w:val="90"/>
      <w:kern w:val="0"/>
      <w:sz w:val="24"/>
    </w:rPr>
  </w:style>
  <w:style w:type="paragraph" w:styleId="45">
    <w:name w:val="HTML Preformatted"/>
    <w:basedOn w:val="1"/>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paragraph" w:styleId="46">
    <w:name w:val="Normal (Web)"/>
    <w:basedOn w:val="1"/>
    <w:qFormat/>
    <w:uiPriority w:val="99"/>
    <w:pPr>
      <w:widowControl/>
      <w:spacing w:before="100" w:beforeAutospacing="1" w:after="100" w:afterAutospacing="1"/>
      <w:jc w:val="left"/>
    </w:pPr>
    <w:rPr>
      <w:rFonts w:ascii="宋体" w:hAnsi="宋体" w:cs="宋体"/>
      <w:kern w:val="0"/>
      <w:sz w:val="24"/>
      <w:szCs w:val="24"/>
    </w:rPr>
  </w:style>
  <w:style w:type="paragraph" w:styleId="47">
    <w:name w:val="index 2"/>
    <w:basedOn w:val="1"/>
    <w:next w:val="1"/>
    <w:qFormat/>
    <w:uiPriority w:val="0"/>
    <w:pPr>
      <w:spacing w:line="360" w:lineRule="auto"/>
      <w:ind w:left="200" w:leftChars="200" w:firstLine="200" w:firstLineChars="200"/>
    </w:pPr>
    <w:rPr>
      <w:sz w:val="24"/>
      <w:szCs w:val="24"/>
    </w:rPr>
  </w:style>
  <w:style w:type="paragraph" w:styleId="48">
    <w:name w:val="Title"/>
    <w:basedOn w:val="1"/>
    <w:qFormat/>
    <w:uiPriority w:val="0"/>
    <w:pPr>
      <w:spacing w:before="240" w:after="60" w:line="360" w:lineRule="auto"/>
      <w:ind w:firstLine="200" w:firstLineChars="200"/>
      <w:jc w:val="center"/>
      <w:outlineLvl w:val="0"/>
    </w:pPr>
    <w:rPr>
      <w:rFonts w:ascii="Arial" w:hAnsi="Arial" w:cs="Arial"/>
      <w:b/>
      <w:bCs/>
      <w:color w:val="FF0000"/>
      <w:sz w:val="32"/>
      <w:szCs w:val="32"/>
    </w:rPr>
  </w:style>
  <w:style w:type="paragraph" w:styleId="49">
    <w:name w:val="annotation subject"/>
    <w:basedOn w:val="15"/>
    <w:next w:val="15"/>
    <w:qFormat/>
    <w:uiPriority w:val="0"/>
    <w:pPr>
      <w:spacing w:line="240" w:lineRule="auto"/>
      <w:ind w:firstLine="0" w:firstLineChars="0"/>
    </w:pPr>
    <w:rPr>
      <w:b/>
      <w:bCs/>
      <w:sz w:val="21"/>
      <w:szCs w:val="20"/>
    </w:rPr>
  </w:style>
  <w:style w:type="paragraph" w:styleId="50">
    <w:name w:val="Body Text First Indent"/>
    <w:basedOn w:val="17"/>
    <w:qFormat/>
    <w:uiPriority w:val="0"/>
    <w:pPr>
      <w:spacing w:after="120" w:line="240" w:lineRule="auto"/>
      <w:ind w:firstLine="420" w:firstLineChars="100"/>
    </w:pPr>
    <w:rPr>
      <w:spacing w:val="0"/>
      <w:sz w:val="21"/>
    </w:rPr>
  </w:style>
  <w:style w:type="table" w:styleId="52">
    <w:name w:val="Table Grid"/>
    <w:basedOn w:val="5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page number"/>
    <w:basedOn w:val="53"/>
    <w:qFormat/>
    <w:uiPriority w:val="0"/>
  </w:style>
  <w:style w:type="character" w:styleId="55">
    <w:name w:val="FollowedHyperlink"/>
    <w:qFormat/>
    <w:uiPriority w:val="0"/>
    <w:rPr>
      <w:color w:val="800080"/>
      <w:u w:val="single"/>
    </w:rPr>
  </w:style>
  <w:style w:type="character" w:styleId="56">
    <w:name w:val="Hyperlink"/>
    <w:basedOn w:val="53"/>
    <w:qFormat/>
    <w:uiPriority w:val="99"/>
    <w:rPr>
      <w:color w:val="0000FF"/>
      <w:u w:val="single"/>
    </w:rPr>
  </w:style>
  <w:style w:type="character" w:styleId="57">
    <w:name w:val="annotation reference"/>
    <w:qFormat/>
    <w:uiPriority w:val="0"/>
    <w:rPr>
      <w:sz w:val="21"/>
      <w:szCs w:val="21"/>
    </w:rPr>
  </w:style>
  <w:style w:type="character" w:styleId="58">
    <w:name w:val="footnote reference"/>
    <w:qFormat/>
    <w:uiPriority w:val="0"/>
    <w:rPr>
      <w:vertAlign w:val="superscript"/>
    </w:rPr>
  </w:style>
  <w:style w:type="character" w:customStyle="1" w:styleId="59">
    <w:name w:val="正文文本 字符"/>
    <w:link w:val="17"/>
    <w:qFormat/>
    <w:uiPriority w:val="0"/>
    <w:rPr>
      <w:rFonts w:eastAsia="宋体"/>
      <w:spacing w:val="20"/>
      <w:kern w:val="2"/>
      <w:sz w:val="28"/>
      <w:lang w:val="en-US" w:eastAsia="zh-CN" w:bidi="ar-SA"/>
    </w:rPr>
  </w:style>
  <w:style w:type="character" w:customStyle="1" w:styleId="60">
    <w:name w:val="纯文本 字符"/>
    <w:link w:val="23"/>
    <w:qFormat/>
    <w:uiPriority w:val="0"/>
    <w:rPr>
      <w:rFonts w:ascii="宋体" w:hAnsi="Courier New" w:eastAsia="宋体" w:cs="Courier New"/>
      <w:kern w:val="2"/>
      <w:sz w:val="21"/>
      <w:szCs w:val="21"/>
      <w:lang w:val="en-US" w:eastAsia="zh-CN" w:bidi="ar-SA"/>
    </w:rPr>
  </w:style>
  <w:style w:type="character" w:customStyle="1" w:styleId="61">
    <w:name w:val="正文文本缩进 字符"/>
    <w:link w:val="19"/>
    <w:qFormat/>
    <w:uiPriority w:val="0"/>
    <w:rPr>
      <w:rFonts w:ascii="楷体_GB2312" w:eastAsia="楷体_GB2312"/>
      <w:spacing w:val="20"/>
      <w:kern w:val="2"/>
      <w:sz w:val="24"/>
    </w:rPr>
  </w:style>
  <w:style w:type="character" w:customStyle="1" w:styleId="62">
    <w:name w:val="正文文本缩进 2 字符"/>
    <w:link w:val="27"/>
    <w:qFormat/>
    <w:uiPriority w:val="0"/>
    <w:rPr>
      <w:rFonts w:ascii="楷体_GB2312" w:eastAsia="楷体_GB2312"/>
      <w:spacing w:val="20"/>
      <w:kern w:val="2"/>
      <w:sz w:val="24"/>
    </w:rPr>
  </w:style>
  <w:style w:type="character" w:customStyle="1" w:styleId="63">
    <w:name w:val="正文（首行缩进两字） Char Char"/>
    <w:qFormat/>
    <w:uiPriority w:val="0"/>
    <w:rPr>
      <w:rFonts w:eastAsia="宋体"/>
      <w:kern w:val="2"/>
      <w:sz w:val="28"/>
      <w:szCs w:val="24"/>
      <w:lang w:val="en-US" w:eastAsia="zh-CN" w:bidi="ar-SA"/>
    </w:rPr>
  </w:style>
  <w:style w:type="character" w:customStyle="1" w:styleId="64">
    <w:name w:val="sh141"/>
    <w:qFormat/>
    <w:uiPriority w:val="0"/>
    <w:rPr>
      <w:color w:val="2B2B2B"/>
      <w:sz w:val="21"/>
      <w:szCs w:val="21"/>
    </w:rPr>
  </w:style>
  <w:style w:type="character" w:customStyle="1" w:styleId="65">
    <w:name w:val="unnamed21"/>
    <w:qFormat/>
    <w:uiPriority w:val="0"/>
    <w:rPr>
      <w:u w:val="none"/>
    </w:rPr>
  </w:style>
  <w:style w:type="character" w:customStyle="1" w:styleId="66">
    <w:name w:val="样式 正文（首行缩进两字） + 加粗 Char"/>
    <w:qFormat/>
    <w:uiPriority w:val="0"/>
    <w:rPr>
      <w:rFonts w:eastAsia="宋体"/>
      <w:b/>
      <w:bCs/>
      <w:kern w:val="2"/>
      <w:sz w:val="28"/>
      <w:szCs w:val="24"/>
      <w:lang w:val="en-US" w:eastAsia="zh-CN" w:bidi="ar-SA"/>
    </w:rPr>
  </w:style>
  <w:style w:type="character" w:customStyle="1" w:styleId="67">
    <w:name w:val="样式1正文 Char Char1"/>
    <w:link w:val="68"/>
    <w:qFormat/>
    <w:uiPriority w:val="0"/>
    <w:rPr>
      <w:rFonts w:ascii="宋体" w:hAnsi="宋体"/>
      <w:bCs/>
      <w:spacing w:val="-10"/>
      <w:sz w:val="28"/>
      <w:szCs w:val="28"/>
      <w:lang w:val="en-GB"/>
    </w:rPr>
  </w:style>
  <w:style w:type="paragraph" w:customStyle="1" w:styleId="68">
    <w:name w:val="样式1正文 Char"/>
    <w:basedOn w:val="1"/>
    <w:link w:val="67"/>
    <w:qFormat/>
    <w:uiPriority w:val="0"/>
    <w:pPr>
      <w:spacing w:line="640" w:lineRule="exact"/>
      <w:ind w:firstLine="520" w:firstLineChars="200"/>
    </w:pPr>
    <w:rPr>
      <w:rFonts w:ascii="宋体" w:hAnsi="宋体"/>
      <w:bCs/>
      <w:spacing w:val="-10"/>
      <w:kern w:val="0"/>
      <w:sz w:val="28"/>
      <w:szCs w:val="28"/>
      <w:lang w:val="en-GB"/>
    </w:rPr>
  </w:style>
  <w:style w:type="character" w:customStyle="1" w:styleId="69">
    <w:name w:val="正文（首行缩进两字） Char Char Char Char Char"/>
    <w:qFormat/>
    <w:uiPriority w:val="0"/>
    <w:rPr>
      <w:rFonts w:eastAsia="宋体"/>
      <w:kern w:val="2"/>
      <w:sz w:val="28"/>
      <w:szCs w:val="24"/>
      <w:lang w:val="en-US" w:eastAsia="zh-CN" w:bidi="ar-SA"/>
    </w:rPr>
  </w:style>
  <w:style w:type="character" w:customStyle="1" w:styleId="70">
    <w:name w:val="段落 Char Char"/>
    <w:link w:val="71"/>
    <w:qFormat/>
    <w:uiPriority w:val="0"/>
    <w:rPr>
      <w:rFonts w:eastAsia="宋体"/>
      <w:kern w:val="2"/>
      <w:sz w:val="24"/>
      <w:szCs w:val="24"/>
      <w:lang w:val="en-US" w:eastAsia="zh-CN" w:bidi="ar-SA"/>
    </w:rPr>
  </w:style>
  <w:style w:type="paragraph" w:customStyle="1" w:styleId="71">
    <w:name w:val="段落 Char"/>
    <w:basedOn w:val="1"/>
    <w:link w:val="70"/>
    <w:qFormat/>
    <w:uiPriority w:val="0"/>
    <w:pPr>
      <w:topLinePunct/>
      <w:snapToGrid w:val="0"/>
      <w:spacing w:line="360" w:lineRule="auto"/>
      <w:ind w:firstLine="200" w:firstLineChars="200"/>
    </w:pPr>
    <w:rPr>
      <w:sz w:val="24"/>
      <w:szCs w:val="24"/>
    </w:rPr>
  </w:style>
  <w:style w:type="character" w:customStyle="1" w:styleId="72">
    <w:name w:val="st1"/>
    <w:basedOn w:val="53"/>
    <w:qFormat/>
    <w:uiPriority w:val="0"/>
  </w:style>
  <w:style w:type="character" w:customStyle="1" w:styleId="73">
    <w:name w:val="标题 2 字符"/>
    <w:link w:val="3"/>
    <w:qFormat/>
    <w:uiPriority w:val="0"/>
    <w:rPr>
      <w:rFonts w:ascii="Arial" w:hAnsi="Arial" w:eastAsia="黑体"/>
      <w:b/>
      <w:bCs/>
      <w:kern w:val="2"/>
      <w:sz w:val="36"/>
      <w:szCs w:val="32"/>
    </w:rPr>
  </w:style>
  <w:style w:type="paragraph" w:customStyle="1" w:styleId="74">
    <w:name w:val="样式 标题 5 + 小四"/>
    <w:basedOn w:val="6"/>
    <w:qFormat/>
    <w:uiPriority w:val="0"/>
    <w:pPr>
      <w:numPr>
        <w:ilvl w:val="4"/>
        <w:numId w:val="1"/>
      </w:numPr>
      <w:tabs>
        <w:tab w:val="left" w:pos="2070"/>
      </w:tabs>
      <w:snapToGrid w:val="0"/>
      <w:spacing w:before="0" w:after="0" w:line="360" w:lineRule="auto"/>
      <w:jc w:val="both"/>
    </w:pPr>
    <w:rPr>
      <w:rFonts w:ascii="Times New Roman" w:hAnsi="Times New Roman"/>
      <w:sz w:val="24"/>
    </w:rPr>
  </w:style>
  <w:style w:type="paragraph" w:customStyle="1" w:styleId="75">
    <w:name w:val="cucd-0"/>
    <w:qFormat/>
    <w:uiPriority w:val="0"/>
    <w:pPr>
      <w:widowControl w:val="0"/>
      <w:spacing w:line="360" w:lineRule="auto"/>
      <w:ind w:firstLine="480" w:firstLineChars="200"/>
      <w:jc w:val="both"/>
    </w:pPr>
    <w:rPr>
      <w:rFonts w:ascii="Times New Roman" w:hAnsi="Times New Roman" w:eastAsia="宋体" w:cs="Times New Roman"/>
      <w:kern w:val="2"/>
      <w:sz w:val="24"/>
      <w:szCs w:val="24"/>
      <w:lang w:val="en-US" w:eastAsia="zh-CN" w:bidi="ar-SA"/>
    </w:rPr>
  </w:style>
  <w:style w:type="paragraph" w:customStyle="1" w:styleId="76">
    <w:name w:val="样式 表头 + 小四"/>
    <w:basedOn w:val="41"/>
    <w:qFormat/>
    <w:uiPriority w:val="0"/>
    <w:pPr>
      <w:spacing w:line="240" w:lineRule="auto"/>
      <w:ind w:left="420" w:leftChars="0" w:firstLine="0" w:firstLineChars="0"/>
      <w:jc w:val="center"/>
    </w:pPr>
    <w:rPr>
      <w:b/>
      <w:bCs/>
      <w:szCs w:val="20"/>
    </w:rPr>
  </w:style>
  <w:style w:type="paragraph" w:styleId="77">
    <w:name w:val="List Paragraph"/>
    <w:basedOn w:val="1"/>
    <w:qFormat/>
    <w:uiPriority w:val="0"/>
    <w:pPr>
      <w:ind w:firstLine="420" w:firstLineChars="200"/>
    </w:pPr>
    <w:rPr>
      <w:szCs w:val="24"/>
    </w:rPr>
  </w:style>
  <w:style w:type="paragraph" w:customStyle="1" w:styleId="78">
    <w:name w:val="报告正文"/>
    <w:basedOn w:val="1"/>
    <w:qFormat/>
    <w:uiPriority w:val="0"/>
    <w:pPr>
      <w:widowControl/>
      <w:spacing w:before="100" w:beforeAutospacing="1"/>
      <w:ind w:firstLine="560" w:firstLineChars="200"/>
      <w:jc w:val="left"/>
      <w:textAlignment w:val="baseline"/>
    </w:pPr>
    <w:rPr>
      <w:rFonts w:ascii="仿宋_GB2312" w:hAnsi="宋体" w:eastAsia="仿宋_GB2312"/>
      <w:color w:val="000000"/>
      <w:kern w:val="0"/>
      <w:sz w:val="28"/>
      <w:u w:color="000000"/>
    </w:rPr>
  </w:style>
  <w:style w:type="paragraph" w:customStyle="1" w:styleId="79">
    <w:name w:val="font0"/>
    <w:basedOn w:val="1"/>
    <w:qFormat/>
    <w:uiPriority w:val="0"/>
    <w:pPr>
      <w:widowControl/>
      <w:spacing w:before="100" w:beforeAutospacing="1" w:after="100" w:afterAutospacing="1"/>
      <w:jc w:val="left"/>
    </w:pPr>
    <w:rPr>
      <w:kern w:val="0"/>
      <w:sz w:val="24"/>
      <w:szCs w:val="24"/>
    </w:rPr>
  </w:style>
  <w:style w:type="paragraph" w:customStyle="1" w:styleId="80">
    <w:name w:val="样式6 正文"/>
    <w:qFormat/>
    <w:uiPriority w:val="0"/>
    <w:pPr>
      <w:spacing w:line="360" w:lineRule="auto"/>
      <w:ind w:firstLine="510"/>
      <w:jc w:val="both"/>
    </w:pPr>
    <w:rPr>
      <w:rFonts w:ascii="Times New Roman" w:hAnsi="Times New Roman" w:eastAsia="宋体" w:cs="Times New Roman"/>
      <w:sz w:val="24"/>
      <w:lang w:val="en-US" w:eastAsia="zh-CN" w:bidi="ar-SA"/>
    </w:rPr>
  </w:style>
  <w:style w:type="paragraph" w:customStyle="1" w:styleId="81">
    <w:name w:val="样式 标题 1 + 非加宽量 / 紧缩量"/>
    <w:basedOn w:val="2"/>
    <w:qFormat/>
    <w:uiPriority w:val="0"/>
    <w:pPr>
      <w:keepNext w:val="0"/>
      <w:keepLines/>
      <w:pageBreakBefore/>
      <w:adjustRightInd/>
      <w:ind w:left="2646" w:firstLine="0"/>
      <w:jc w:val="left"/>
      <w:textAlignment w:val="auto"/>
    </w:pPr>
    <w:rPr>
      <w:rFonts w:ascii="宋体" w:hAnsi="宋体" w:eastAsia="宋体"/>
      <w:b/>
      <w:bCs/>
      <w:color w:val="000000"/>
      <w:spacing w:val="20"/>
      <w:kern w:val="28"/>
      <w:sz w:val="30"/>
      <w:szCs w:val="30"/>
    </w:rPr>
  </w:style>
  <w:style w:type="paragraph" w:customStyle="1" w:styleId="82">
    <w:name w:val="Char Char Char Char"/>
    <w:basedOn w:val="1"/>
    <w:qFormat/>
    <w:uiPriority w:val="0"/>
  </w:style>
  <w:style w:type="paragraph" w:customStyle="1" w:styleId="83">
    <w:name w:val="样式1"/>
    <w:basedOn w:val="41"/>
    <w:qFormat/>
    <w:uiPriority w:val="0"/>
    <w:pPr>
      <w:ind w:left="0" w:leftChars="0" w:firstLine="0" w:firstLineChars="0"/>
      <w:jc w:val="center"/>
      <w:outlineLvl w:val="0"/>
    </w:pPr>
    <w:rPr>
      <w:rFonts w:eastAsia="仿宋_GB2312"/>
      <w:szCs w:val="20"/>
    </w:rPr>
  </w:style>
  <w:style w:type="paragraph" w:customStyle="1" w:styleId="84">
    <w:name w:val="插图"/>
    <w:basedOn w:val="41"/>
    <w:next w:val="1"/>
    <w:qFormat/>
    <w:uiPriority w:val="0"/>
    <w:pPr>
      <w:spacing w:before="312" w:beforeLines="100" w:after="156" w:afterLines="50"/>
      <w:ind w:left="0" w:leftChars="0" w:firstLine="0" w:firstLineChars="0"/>
      <w:jc w:val="center"/>
    </w:pPr>
    <w:rPr>
      <w:sz w:val="28"/>
      <w:szCs w:val="20"/>
    </w:rPr>
  </w:style>
  <w:style w:type="paragraph" w:customStyle="1" w:styleId="85">
    <w:name w:val="样式1正文"/>
    <w:basedOn w:val="1"/>
    <w:qFormat/>
    <w:uiPriority w:val="0"/>
    <w:pPr>
      <w:spacing w:line="640" w:lineRule="exact"/>
      <w:ind w:firstLine="520" w:firstLineChars="200"/>
    </w:pPr>
    <w:rPr>
      <w:rFonts w:ascii="宋体" w:hAnsi="宋体"/>
      <w:bCs/>
      <w:spacing w:val="-10"/>
      <w:kern w:val="0"/>
      <w:sz w:val="28"/>
      <w:szCs w:val="28"/>
      <w:lang w:val="en-GB"/>
    </w:rPr>
  </w:style>
  <w:style w:type="paragraph" w:customStyle="1" w:styleId="86">
    <w:name w:val="Char"/>
    <w:basedOn w:val="1"/>
    <w:qFormat/>
    <w:uiPriority w:val="0"/>
    <w:rPr>
      <w:szCs w:val="24"/>
    </w:rPr>
  </w:style>
  <w:style w:type="paragraph" w:customStyle="1" w:styleId="87">
    <w:name w:val="表格"/>
    <w:qFormat/>
    <w:uiPriority w:val="0"/>
    <w:pPr>
      <w:widowControl w:val="0"/>
      <w:spacing w:before="40" w:after="40" w:line="240" w:lineRule="exact"/>
      <w:jc w:val="center"/>
    </w:pPr>
    <w:rPr>
      <w:rFonts w:ascii="Times New Roman" w:hAnsi="Times New Roman" w:eastAsia="宋体" w:cs="Times New Roman"/>
      <w:sz w:val="21"/>
      <w:lang w:val="en-US" w:eastAsia="zh-CN" w:bidi="ar-SA"/>
    </w:rPr>
  </w:style>
  <w:style w:type="paragraph" w:customStyle="1" w:styleId="88">
    <w:name w:val="样式 标题 2 + 小四"/>
    <w:basedOn w:val="3"/>
    <w:qFormat/>
    <w:uiPriority w:val="0"/>
    <w:pPr>
      <w:spacing w:before="143" w:after="0" w:line="360" w:lineRule="auto"/>
      <w:ind w:left="980"/>
      <w:jc w:val="both"/>
    </w:pPr>
    <w:rPr>
      <w:rFonts w:eastAsia="宋体"/>
      <w:spacing w:val="16"/>
      <w:sz w:val="24"/>
    </w:rPr>
  </w:style>
  <w:style w:type="paragraph" w:customStyle="1" w:styleId="89">
    <w:name w:val="样式 标题 1 + 小四"/>
    <w:basedOn w:val="2"/>
    <w:qFormat/>
    <w:uiPriority w:val="0"/>
    <w:pPr>
      <w:keepNext w:val="0"/>
      <w:keepLines/>
      <w:pageBreakBefore/>
      <w:adjustRightInd/>
      <w:ind w:left="2646" w:firstLine="0"/>
      <w:jc w:val="center"/>
      <w:textAlignment w:val="auto"/>
    </w:pPr>
    <w:rPr>
      <w:rFonts w:ascii="宋体" w:hAnsi="宋体" w:eastAsia="宋体"/>
      <w:b/>
      <w:bCs/>
      <w:color w:val="000000"/>
      <w:spacing w:val="20"/>
      <w:kern w:val="28"/>
      <w:szCs w:val="30"/>
    </w:rPr>
  </w:style>
  <w:style w:type="paragraph" w:customStyle="1" w:styleId="90">
    <w:name w:val="Char Char Char Char Char Char Char"/>
    <w:basedOn w:val="1"/>
    <w:qFormat/>
    <w:uiPriority w:val="0"/>
    <w:rPr>
      <w:szCs w:val="24"/>
    </w:rPr>
  </w:style>
  <w:style w:type="paragraph" w:customStyle="1" w:styleId="91">
    <w:name w:val="样式 标题 4 + 小四"/>
    <w:basedOn w:val="5"/>
    <w:qFormat/>
    <w:uiPriority w:val="0"/>
    <w:pPr>
      <w:spacing w:before="0" w:after="0"/>
      <w:ind w:left="392" w:firstLine="0" w:firstLineChars="0"/>
    </w:pPr>
    <w:rPr>
      <w:rFonts w:ascii="Arial" w:hAnsi="Arial" w:eastAsia="黑体"/>
      <w:bCs w:val="0"/>
    </w:rPr>
  </w:style>
  <w:style w:type="paragraph" w:customStyle="1" w:styleId="92">
    <w:name w:val="表格字样"/>
    <w:basedOn w:val="1"/>
    <w:qFormat/>
    <w:uiPriority w:val="0"/>
    <w:pPr>
      <w:snapToGrid w:val="0"/>
    </w:pPr>
    <w:rPr>
      <w:szCs w:val="21"/>
    </w:rPr>
  </w:style>
  <w:style w:type="paragraph" w:customStyle="1" w:styleId="93">
    <w:name w:val="样式 文"/>
    <w:basedOn w:val="1"/>
    <w:qFormat/>
    <w:uiPriority w:val="0"/>
    <w:pPr>
      <w:ind w:firstLine="200" w:firstLineChars="200"/>
    </w:pPr>
    <w:rPr>
      <w:rFonts w:ascii="MS Gothic" w:hAnsi="MS Gothic"/>
      <w:sz w:val="24"/>
      <w:szCs w:val="24"/>
    </w:rPr>
  </w:style>
  <w:style w:type="paragraph" w:customStyle="1" w:styleId="94">
    <w:name w:val="表头"/>
    <w:basedOn w:val="1"/>
    <w:qFormat/>
    <w:uiPriority w:val="0"/>
    <w:pPr>
      <w:adjustRightInd w:val="0"/>
      <w:ind w:firstLine="560" w:firstLineChars="200"/>
      <w:jc w:val="center"/>
      <w:textAlignment w:val="baseline"/>
    </w:pPr>
    <w:rPr>
      <w:rFonts w:ascii="黑体" w:hAnsi="宋体" w:eastAsia="黑体"/>
      <w:kern w:val="0"/>
      <w:sz w:val="28"/>
      <w:szCs w:val="24"/>
    </w:rPr>
  </w:style>
  <w:style w:type="paragraph" w:customStyle="1" w:styleId="95">
    <w:name w:val="样式2"/>
    <w:basedOn w:val="1"/>
    <w:qFormat/>
    <w:uiPriority w:val="0"/>
    <w:pPr>
      <w:adjustRightInd w:val="0"/>
      <w:snapToGrid w:val="0"/>
      <w:spacing w:line="360" w:lineRule="auto"/>
    </w:pPr>
    <w:rPr>
      <w:sz w:val="28"/>
      <w:szCs w:val="24"/>
    </w:rPr>
  </w:style>
  <w:style w:type="paragraph" w:customStyle="1" w:styleId="96">
    <w:name w:val="Char Char Char Char1"/>
    <w:basedOn w:val="1"/>
    <w:qFormat/>
    <w:uiPriority w:val="0"/>
    <w:rPr>
      <w:szCs w:val="24"/>
    </w:rPr>
  </w:style>
  <w:style w:type="paragraph" w:customStyle="1" w:styleId="97">
    <w:name w:val="样式3"/>
    <w:basedOn w:val="31"/>
    <w:qFormat/>
    <w:uiPriority w:val="0"/>
    <w:pPr>
      <w:tabs>
        <w:tab w:val="right" w:leader="dot" w:pos="9515"/>
        <w:tab w:val="right" w:leader="dot" w:pos="10144"/>
      </w:tabs>
    </w:pPr>
    <w:rPr>
      <w:b/>
      <w:caps/>
      <w:sz w:val="28"/>
    </w:rPr>
  </w:style>
  <w:style w:type="paragraph" w:customStyle="1" w:styleId="98">
    <w:name w:val="列表项目编号"/>
    <w:basedOn w:val="95"/>
    <w:qFormat/>
    <w:uiPriority w:val="0"/>
    <w:pPr>
      <w:snapToGrid/>
    </w:pPr>
    <w:rPr>
      <w:kern w:val="0"/>
      <w:szCs w:val="20"/>
    </w:rPr>
  </w:style>
  <w:style w:type="paragraph" w:customStyle="1" w:styleId="99">
    <w:name w:val="TOC 标题1"/>
    <w:basedOn w:val="2"/>
    <w:next w:val="1"/>
    <w:qFormat/>
    <w:uiPriority w:val="39"/>
    <w:pPr>
      <w:keepLines/>
      <w:widowControl/>
      <w:adjustRightInd/>
      <w:spacing w:before="480" w:line="276" w:lineRule="auto"/>
      <w:ind w:left="0" w:firstLine="0"/>
      <w:jc w:val="left"/>
      <w:textAlignment w:val="auto"/>
      <w:outlineLvl w:val="9"/>
    </w:pPr>
    <w:rPr>
      <w:rFonts w:ascii="Cambria" w:hAnsi="Cambria" w:eastAsia="宋体"/>
      <w:b/>
      <w:bCs/>
      <w:color w:val="365F91"/>
      <w:szCs w:val="28"/>
    </w:rPr>
  </w:style>
  <w:style w:type="paragraph" w:customStyle="1" w:styleId="100">
    <w:name w:val="图表"/>
    <w:basedOn w:val="1"/>
    <w:qFormat/>
    <w:uiPriority w:val="0"/>
    <w:pPr>
      <w:jc w:val="center"/>
    </w:pPr>
    <w:rPr>
      <w:rFonts w:eastAsia="Times New Roman"/>
    </w:rPr>
  </w:style>
  <w:style w:type="paragraph" w:customStyle="1" w:styleId="101">
    <w:name w:val="Char1"/>
    <w:basedOn w:val="1"/>
    <w:qFormat/>
    <w:uiPriority w:val="0"/>
    <w:pPr>
      <w:widowControl/>
      <w:adjustRightInd w:val="0"/>
      <w:spacing w:after="160" w:line="240" w:lineRule="exact"/>
      <w:jc w:val="left"/>
      <w:textAlignment w:val="baseline"/>
    </w:pPr>
    <w:rPr>
      <w:kern w:val="0"/>
      <w:sz w:val="24"/>
    </w:rPr>
  </w:style>
  <w:style w:type="paragraph" w:customStyle="1" w:styleId="102">
    <w:name w:val="样式 宋体 小四 首行缩进:  1 厘米 行距: 1.5 倍行距"/>
    <w:basedOn w:val="1"/>
    <w:qFormat/>
    <w:uiPriority w:val="0"/>
    <w:pPr>
      <w:spacing w:line="360" w:lineRule="auto"/>
      <w:ind w:firstLine="567"/>
    </w:pPr>
    <w:rPr>
      <w:rFonts w:ascii="宋体"/>
      <w:sz w:val="28"/>
    </w:rPr>
  </w:style>
  <w:style w:type="paragraph" w:customStyle="1" w:styleId="103">
    <w:name w:val="c"/>
    <w:basedOn w:val="1"/>
    <w:link w:val="105"/>
    <w:qFormat/>
    <w:uiPriority w:val="0"/>
    <w:pPr>
      <w:spacing w:line="360" w:lineRule="auto"/>
      <w:ind w:firstLine="480" w:firstLineChars="200"/>
    </w:pPr>
    <w:rPr>
      <w:rFonts w:ascii="宋体" w:hAnsi="宋体" w:cs="Arial"/>
      <w:color w:val="000000"/>
      <w:sz w:val="24"/>
      <w:shd w:val="clear" w:color="auto" w:fill="FFFFFF"/>
    </w:rPr>
  </w:style>
  <w:style w:type="paragraph" w:customStyle="1" w:styleId="104">
    <w:name w:val="修订1"/>
    <w:hidden/>
    <w:unhideWhenUsed/>
    <w:qFormat/>
    <w:uiPriority w:val="99"/>
    <w:rPr>
      <w:rFonts w:ascii="Times New Roman" w:hAnsi="Times New Roman" w:eastAsia="宋体" w:cs="Times New Roman"/>
      <w:kern w:val="2"/>
      <w:sz w:val="21"/>
      <w:lang w:val="en-US" w:eastAsia="zh-CN" w:bidi="ar-SA"/>
    </w:rPr>
  </w:style>
  <w:style w:type="character" w:customStyle="1" w:styleId="105">
    <w:name w:val="c 字符"/>
    <w:link w:val="103"/>
    <w:qFormat/>
    <w:uiPriority w:val="0"/>
    <w:rPr>
      <w:rFonts w:ascii="宋体" w:hAnsi="宋体" w:cs="Arial"/>
      <w:color w:val="000000"/>
      <w:kern w:val="2"/>
      <w:sz w:val="24"/>
    </w:rPr>
  </w:style>
  <w:style w:type="paragraph" w:customStyle="1" w:styleId="106">
    <w:name w:val="e"/>
    <w:basedOn w:val="1"/>
    <w:link w:val="107"/>
    <w:qFormat/>
    <w:uiPriority w:val="0"/>
    <w:pPr>
      <w:jc w:val="center"/>
    </w:pPr>
    <w:rPr>
      <w:rFonts w:ascii="宋体" w:hAnsi="宋体"/>
      <w:bCs/>
      <w:szCs w:val="21"/>
    </w:rPr>
  </w:style>
  <w:style w:type="character" w:customStyle="1" w:styleId="107">
    <w:name w:val="e 字符"/>
    <w:link w:val="106"/>
    <w:qFormat/>
    <w:uiPriority w:val="0"/>
    <w:rPr>
      <w:rFonts w:ascii="宋体" w:hAnsi="宋体"/>
      <w:bCs/>
      <w:kern w:val="2"/>
      <w:sz w:val="21"/>
      <w:szCs w:val="21"/>
    </w:rPr>
  </w:style>
  <w:style w:type="character" w:customStyle="1" w:styleId="108">
    <w:name w:val="批注文字 字符"/>
    <w:link w:val="15"/>
    <w:qFormat/>
    <w:uiPriority w:val="0"/>
    <w:rPr>
      <w:kern w:val="2"/>
      <w:sz w:val="24"/>
      <w:szCs w:val="24"/>
    </w:rPr>
  </w:style>
  <w:style w:type="character" w:customStyle="1" w:styleId="109">
    <w:name w:val="d 字符"/>
    <w:link w:val="110"/>
    <w:qFormat/>
    <w:uiPriority w:val="0"/>
    <w:rPr>
      <w:rFonts w:ascii="宋体" w:hAnsi="宋体"/>
      <w:b/>
      <w:color w:val="000000"/>
      <w:kern w:val="2"/>
      <w:sz w:val="24"/>
      <w:szCs w:val="24"/>
    </w:rPr>
  </w:style>
  <w:style w:type="paragraph" w:customStyle="1" w:styleId="110">
    <w:name w:val="d"/>
    <w:basedOn w:val="71"/>
    <w:link w:val="109"/>
    <w:qFormat/>
    <w:uiPriority w:val="0"/>
    <w:pPr>
      <w:ind w:firstLine="480"/>
    </w:pPr>
    <w:rPr>
      <w:rFonts w:ascii="宋体" w:hAnsi="宋体"/>
      <w:b/>
      <w:color w:val="000000"/>
    </w:rPr>
  </w:style>
  <w:style w:type="paragraph" w:customStyle="1" w:styleId="111">
    <w:name w:val="正文1.5行距"/>
    <w:basedOn w:val="1"/>
    <w:link w:val="112"/>
    <w:qFormat/>
    <w:uiPriority w:val="0"/>
    <w:pPr>
      <w:widowControl/>
      <w:spacing w:line="360" w:lineRule="auto"/>
      <w:ind w:firstLine="200" w:firstLineChars="200"/>
      <w:jc w:val="left"/>
    </w:pPr>
    <w:rPr>
      <w:rFonts w:ascii="宋体" w:hAnsi="宋体"/>
      <w:sz w:val="24"/>
      <w:szCs w:val="24"/>
    </w:rPr>
  </w:style>
  <w:style w:type="character" w:customStyle="1" w:styleId="112">
    <w:name w:val="正文1.5行距 字符"/>
    <w:basedOn w:val="53"/>
    <w:link w:val="111"/>
    <w:qFormat/>
    <w:uiPriority w:val="0"/>
    <w:rPr>
      <w:rFonts w:ascii="宋体" w:hAnsi="宋体"/>
      <w:kern w:val="2"/>
      <w:sz w:val="24"/>
      <w:szCs w:val="24"/>
    </w:rPr>
  </w:style>
  <w:style w:type="paragraph" w:customStyle="1" w:styleId="113">
    <w:name w:val="表格中的内容"/>
    <w:basedOn w:val="1"/>
    <w:qFormat/>
    <w:uiPriority w:val="0"/>
    <w:pPr>
      <w:jc w:val="center"/>
    </w:pPr>
    <w:rPr>
      <w:rFonts w:ascii="宋体" w:hAnsi="Arial"/>
      <w:kern w:val="0"/>
    </w:rPr>
  </w:style>
  <w:style w:type="paragraph" w:customStyle="1" w:styleId="114">
    <w:name w:val="(川设)表内"/>
    <w:basedOn w:val="1"/>
    <w:qFormat/>
    <w:uiPriority w:val="0"/>
    <w:pPr>
      <w:widowControl w:val="0"/>
      <w:adjustRightInd w:val="0"/>
      <w:snapToGrid w:val="0"/>
      <w:spacing w:line="240" w:lineRule="auto"/>
      <w:ind w:firstLine="0" w:firstLineChars="0"/>
      <w:jc w:val="center"/>
    </w:pPr>
    <w:rPr>
      <w:rFonts w:ascii="Times New Roman" w:hAnsi="Times New Roman"/>
      <w:kern w:val="0"/>
      <w:sz w:val="21"/>
      <w:szCs w:val="24"/>
    </w:rPr>
  </w:style>
  <w:style w:type="paragraph" w:customStyle="1" w:styleId="115">
    <w:name w:val="Table Paragraph"/>
    <w:basedOn w:val="1"/>
    <w:qFormat/>
    <w:uiPriority w:val="1"/>
    <w:rPr>
      <w:rFonts w:ascii="仿宋_GB2312" w:hAnsi="仿宋_GB2312" w:eastAsia="仿宋_GB2312" w:cs="仿宋_GB2312"/>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js</Company>
  <Pages>6</Pages>
  <Words>7270</Words>
  <Characters>8381</Characters>
  <Lines>35</Lines>
  <Paragraphs>10</Paragraphs>
  <TotalTime>14</TotalTime>
  <ScaleCrop>false</ScaleCrop>
  <LinksUpToDate>false</LinksUpToDate>
  <CharactersWithSpaces>8423</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2021-08-17T08:13:00Z</dcterms:created>
  <dc:creator>lsp</dc:creator>
  <cp:lastModifiedBy>WPS_1616481126</cp:lastModifiedBy>
  <cp:lastPrinted>2021-10-23T14:55:00Z</cp:lastPrinted>
  <dcterms:modified xsi:type="dcterms:W3CDTF">2025-11-01T03:58:11Z</dcterms:modified>
  <dc:title>总说明</dc:title>
  <cp:revision>75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3FCACC4368F74DDBAA553C92C5DB78DE</vt:lpwstr>
  </property>
  <property fmtid="{D5CDD505-2E9C-101B-9397-08002B2CF9AE}" pid="4" name="KSOTemplateDocerSaveRecord">
    <vt:lpwstr>eyJoZGlkIjoiY2Q5MTM3NzNkMDY4ZTFkZTU2NThmYjFiNGE5OThiMjUiLCJ1c2VySWQiOiIxMTg1NDg1NDU3In0=</vt:lpwstr>
  </property>
</Properties>
</file>